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Tierarzneimittel Verordnung (EU) 2019-6 (11 von 12) Anhang II-III 8. Rückstandsversuche, 9. Wechselwirkungen</w:t>
      </w:r>
    </w:p>
    <w:p>
      <w:r>
        <w:t>Quelle: Amtsblatt der EU, CELEX 32019R0006, https://eur-lex.europa.eu/legal-content/DE/TXT/?uri=CELEX:32019R0006</w:t>
      </w:r>
    </w:p>
    <w:p>
      <w:pPr>
        <w:pStyle w:val="Heading1"/>
      </w:pPr>
      <w:r>
        <w:t>ANHANG II (Fortsetzung)</w:t>
      </w:r>
    </w:p>
    <w:p>
      <w:pPr>
        <w:pStyle w:val="Heading2"/>
      </w:pPr>
      <w:r>
        <w:t>8. Rückstandsversuche</w:t>
      </w:r>
    </w:p>
    <w:p>
      <w:r>
        <w:t>Für immunologische Tierarzneimittel ist es normalerweise nicht erforderlich, Rückstandsversuche durchzuführen. Sofern jedoch Adjuvanzien und/oder Konservierungsmittel bei der Herstellung des immunologischen Tierarzneimittels verwendet werden, ist die Möglichkeit zu prüfen, dass Rückstände in Lebensmitteln verbleiben. Falls erforderlich, sind die Wirkungen solcher Rückstände zu untersuchen.</w:t>
      </w:r>
    </w:p>
    <w:p>
      <w:r>
        <w:t>Es ist eine Wartezeit vorzuschlagen, und deren Angemessenheit ist im Zusammenhang mit allen durchgeführten Rückstandsversuchen zu erörtern.</w:t>
      </w:r>
    </w:p>
    <w:p>
      <w:pPr>
        <w:pStyle w:val="Heading1"/>
      </w:pPr>
      <w:r>
        <w:t>ANHANG II (Fortsetzung)</w:t>
      </w:r>
    </w:p>
    <w:p>
      <w:pPr>
        <w:pStyle w:val="Heading2"/>
      </w:pPr>
      <w:r>
        <w:t>9. Wechselwirkungen</w:t>
      </w:r>
    </w:p>
    <w:p>
      <w:r>
        <w:t>Enthält die Zusammenfassung der Merkmale des Tierarzneimittels eine Aussage über die Kompatibilität mit anderen immunologischen Tierarzneimitteln, ist die Unbedenklichkeit der Kombination zu untersuchen. Alle weiteren bekannten Wechselwirkungen mit Tierarzneimitteln sind zu beschreiben.</w:t>
      </w:r>
    </w:p>
    <w:p>
      <w:pPr>
        <w:pStyle w:val="Heading1"/>
      </w:pPr>
      <w:r>
        <w:t>ANHANG II (Fortsetzung)</w:t>
      </w:r>
    </w:p>
    <w:p>
      <w:pPr>
        <w:pStyle w:val="Heading2"/>
      </w:pPr>
      <w:r>
        <w:t>C. FELDVERSUCHE</w:t>
      </w:r>
    </w:p>
    <w:p>
      <w:r>
        <w:t>Von begründeten Ausnahmen abgesehen, müssen die Ergebnisse der Laborversuche durch Daten aus Feldversuchen ergänzt werden, bei denen Chargen verwendet werden, die mit dem im Zulassungsantrag beschriebenen Herstellungsverfahren übereinstimmen. Sowohl die Unbedenklichkeit als auch die Wirksamkeit können in denselben Feldversuchen untersucht werden.</w:t>
      </w:r>
    </w:p>
    <w:p>
      <w:pPr>
        <w:pStyle w:val="Heading1"/>
      </w:pPr>
      <w:r>
        <w:t>ANHANG II (Fortsetzung)</w:t>
      </w:r>
    </w:p>
    <w:p>
      <w:pPr>
        <w:pStyle w:val="Heading2"/>
      </w:pPr>
      <w:r>
        <w:t>D. UMWELTVERTRÄGLICHKEITSPRÜFUNG</w:t>
      </w:r>
    </w:p>
    <w:p>
      <w:r>
        <w:t>Zweck der Umweltverträglichkeitsprüfung ist die Beurteilung potenziell schädlicher Wirkungen, die sich durch die Anwendung des Arzneimittels für die Umwelt ergeben können, und die Feststellung gegebenenfalls erforderlicher Vorsichtsmaßnahmen zur Herabsetzung solcher Risiken.</w:t>
      </w:r>
    </w:p>
    <w:p>
      <w:r>
        <w:t>Die Beurteilung erfolgt normalerweise in zwei Phasen. Die erste Beurteilungsphase ist in jedem Fall durchzuführen. Die Einzelheiten zur Beurteilung sind gemäß den festgelegten Leitlinien anzugeben. Darin ist auszuführen, wie eine potenzielle Exposition der Umwelt gegenüber diesem Arzneimittel aussehen kann und wie hoch das mit dieser Exposition verbundene Risiko ist, wobei insbesondere auf folgende Punkte einzugehen ist:</w:t>
      </w:r>
    </w:p>
    <w:p>
      <w:r>
        <w:t>— die Zieltierarten und die vorgeschlagenen Anwendungsschemata,</w:t>
      </w:r>
    </w:p>
    <w:p>
      <w:r>
        <w:t>— die Verabreichungsart, insbesondere das wahrscheinliche Ausmaß eines direkten Eintritts des Arzneimittels in das Umweltsystem,</w:t>
      </w:r>
    </w:p>
    <w:p>
      <w:r>
        <w:t>— die mögliche Ausscheidung des Arzneimittels und seiner Wirkstoffe durch behandelte Tiere in die Umwelt sowie die Persistenz in solchen Ausscheidungen,</w:t>
      </w:r>
    </w:p>
    <w:p>
      <w:r>
        <w:t>— die Beseitigung von ungenutzten Arzneimitteln oder Abfall.</w:t>
      </w:r>
    </w:p>
    <w:p>
      <w:r>
        <w:t>Bei Stämmen für Lebendimpfstoffe, die zoonotisch wirken können, muss die Gefahr für den Menschen bewertet werden.</w:t>
      </w:r>
    </w:p>
    <w:p>
      <w:r>
        <w:t>Deuten die Schlussfolgerungen der ersten Phase auf eine potenzielle Umweltexposition durch das Arzneimittel hin, muss der Antragsteller in einer zweiten Phase bewerten, welche Gefahren das Tierarzneimittel möglicherweise für die Umwelt birgt. Erforderlichenfalls sind weitere Untersuchungen über die Auswirkungen des Arzneimittels (Boden, Wasser, Luft, aquatische Systeme, Nicht-Zielorganismen) durchzuführen.</w:t>
      </w:r>
    </w:p>
    <w:p>
      <w:pPr>
        <w:pStyle w:val="Heading1"/>
      </w:pPr>
      <w:r>
        <w:t>ANHANG II (Fortsetzung)</w:t>
      </w:r>
    </w:p>
    <w:p>
      <w:pPr>
        <w:pStyle w:val="Heading2"/>
      </w:pPr>
      <w:r>
        <w:t>E. BEURTEILUNGSPFLICHT FÜR TIERARZNEIMITTEL, DIE GENETISCH MODIFIZIERTE ORGANISMEN ENTHALTEN ODER AUS IHNEN BESTEHEN</w:t>
      </w:r>
    </w:p>
    <w:p>
      <w:r>
        <w:t>Bei Tierarzneimitteln, die genetisch veränderte Organismen enthalten oder aus solchen bestehen, sind dem Zulassungsantrag die gemäß Artikel 2 und Teil C der Richtlinie 2001/18/EG vorgeschriebenen Unterlagen beizufügen.</w:t>
      </w:r>
    </w:p>
    <w:p>
      <w:pPr>
        <w:pStyle w:val="Heading1"/>
      </w:pPr>
      <w:r>
        <w:t>ANHANG II (Fortsetzung)</w:t>
      </w:r>
    </w:p>
    <w:p>
      <w:pPr>
        <w:pStyle w:val="Heading2"/>
      </w:pPr>
      <w:r>
        <w:t>TEIL 4</w:t>
      </w:r>
    </w:p>
    <w:p>
      <w:pPr>
        <w:pStyle w:val="Heading1"/>
      </w:pPr>
      <w:r>
        <w:t>ANHANG II (Fortsetzung)</w:t>
      </w:r>
    </w:p>
    <w:p>
      <w:pPr>
        <w:pStyle w:val="Heading2"/>
      </w:pPr>
      <w:r>
        <w:t>Versuche zur wirksamkeit</w:t>
      </w:r>
    </w:p>
    <w:p>
      <w:pPr>
        <w:pStyle w:val="Heading1"/>
      </w:pPr>
      <w:r>
        <w:t>ANHANG II (Fortsetzung)</w:t>
      </w:r>
    </w:p>
    <w:p>
      <w:pPr>
        <w:pStyle w:val="Heading2"/>
      </w:pPr>
      <w:r>
        <w:t>Kapitel I</w:t>
      </w:r>
    </w:p>
    <w:p>
      <w:pPr>
        <w:pStyle w:val="Heading1"/>
      </w:pPr>
      <w:r>
        <w:t>ANHANG II (Fortsetzung)</w:t>
      </w:r>
    </w:p>
    <w:p>
      <w:pPr>
        <w:pStyle w:val="Heading2"/>
      </w:pPr>
      <w:r>
        <w:t>1. Allgemeine Grundsätze</w:t>
      </w:r>
    </w:p>
    <w:p>
      <w:r>
        <w:t>Zweck der in diesem Teil beschriebenen Versuche ist der Nachweis oder die Bestätigung der Wirksamkeit des immunologischen Tierarzneimittels. Alle vom Antragsteller in Bezug auf die Eigenschaften, die Wirkungen und die Anwendung des Arzneimittels gemachten Behauptungen sind durch die im Zulassungsantrag enthaltenen Ergebnisse aus spezifischen Versuchen umfassend zu erhärten.</w:t>
      </w:r>
    </w:p>
    <w:p>
      <w:pPr>
        <w:pStyle w:val="Heading1"/>
      </w:pPr>
      <w:r>
        <w:t>ANHANG II (Fortsetzung)</w:t>
      </w:r>
    </w:p>
    <w:p>
      <w:pPr>
        <w:pStyle w:val="Heading2"/>
      </w:pPr>
      <w:r>
        <w:t>2. Durchführung der Versuche</w:t>
      </w:r>
    </w:p>
    <w:p>
      <w:r>
        <w:t>Alle Versuche zur Wirksamkeit sind im Einklang mit einem vollständig überprüften detaillierten und vor Versuchsbeginn schriftlich niedergelegten Protokoll durchzuführen. Das Wohlergehen der Versuchstiere muss der tierärztlichen Aufsicht unterliegen und ist bei Ausarbeitung jedes Versuchsprotokolls sowie während des gesamten Versuchs in vollem Umfang zu berücksichtigen.</w:t>
      </w:r>
    </w:p>
    <w:p>
      <w:r>
        <w:t>Im Vorfeld schriftlich festgelegte systematische Verfahren für Organisation, Durchführung, Datenerfassung, Dokumentation und Kontrolle der Wirksamkeitsversuche sind vorgeschrieben.</w:t>
      </w:r>
    </w:p>
    <w:p>
      <w:r>
        <w:t>Feldversuche sind gemäß den festgelegten Grundsätzen der guten klinischen Praxis durchzuführen; andernfalls ist dies zu begründen.</w:t>
      </w:r>
    </w:p>
    <w:p>
      <w:r>
        <w:t>Vor Beginn jedes Feldversuchs ist die in voller Kenntnis der Sachlage erteilte Zustimmung des Eigentümers der Versuchstiere einzuholen und zu dokumentieren. Insbesondere muss der Eigentümer der Tiere schriftlich über die Folgen einer Teilnahme an den Prüfungen im Hinblick auf die anschließende Beseitigung behandelter Tiere oder die Herstellung von Lebensmitteln aus behandelten Tieren informiert werden. Eine vom Tiereigentümer gegengezeichnete und datierte Kopie dieser Mitteilung ist den Prüfunterlagen beizufügen.</w:t>
      </w:r>
    </w:p>
    <w:p>
      <w:r>
        <w:t>Außer bei als Blindversuch durchgeführten Feldversuchen gelten die Artikel 55, 56 und 57 sinngemäß für die Etikettierung von Formulierungen, die zur Verwendung in tiermedizinischen Feldversuchen bestimmt sind. In jedem Fall ist der Hinweis „Nur für tiermedizinische Feldversuche“ deutlich sichtbar und unlöschbar auf der Etikettierung anzubringen.</w:t>
      </w:r>
    </w:p>
    <w:p>
      <w:pPr>
        <w:pStyle w:val="Heading1"/>
      </w:pPr>
      <w:r>
        <w:t>ANHANG II (Fortsetzung)</w:t>
      </w:r>
    </w:p>
    <w:p>
      <w:pPr>
        <w:pStyle w:val="Heading2"/>
      </w:pPr>
      <w:r>
        <w:t>Kapitel II</w:t>
      </w:r>
    </w:p>
    <w:p>
      <w:pPr>
        <w:pStyle w:val="Heading1"/>
      </w:pPr>
      <w:r>
        <w:t>ANHANG II (Fortsetzung)</w:t>
      </w:r>
    </w:p>
    <w:p>
      <w:pPr>
        <w:pStyle w:val="Heading2"/>
      </w:pPr>
      <w:r>
        <w:t>A. ALLGEMEINE VORSCHRIFTEN</w:t>
      </w:r>
    </w:p>
    <w:p>
      <w:r>
        <w:rPr>
          <w:b/>
        </w:rPr>
        <w:t>Tabelle (zeilenweise wiedergegeben):</w:t>
      </w:r>
    </w:p>
    <w:p>
      <w:pPr>
        <w:pStyle w:val="ListBullet"/>
      </w:pPr>
      <w:r>
        <w:t>1. | Die Wahl der Antigene oder Impfstämme ist anhand von epizootiologischen Daten zu begründen.</w:t>
      </w:r>
    </w:p>
    <w:p>
      <w:pPr>
        <w:pStyle w:val="ListBullet"/>
      </w:pPr>
      <w:r>
        <w:t>2. | Im Laboratorium durchgeführte Wirksamkeitsversuche müssen kontrollierte Versuche sein, die auch unbehandelte Kontrolltiere einbeziehen, es sei denn, dies ist aus Gründen des Tierschutzes nicht gerechtfertigt und die Wirksamkeit lässt sich auf anderem Weg nachweisen. Generell müssen diese Laborversuche durch unter Feldbedingungen durchgeführte Versuche unter Einbeziehung unbehandelter Kontrolltiere bestätigt werden. Alle Versuche sind so genau zu beschreiben, dass sie in Kontrollversuchen, die auf Anforderung der zuständigen Behörden durchgeführt werden, reproduzierbar sind. Der Versuchsleiter muss die Validität aller angewandten Verfahren nachweisen. Alle erzielten Ergebnisse, ob günstig oder ungünstig, sind vorzulegen.</w:t>
      </w:r>
    </w:p>
    <w:p>
      <w:pPr>
        <w:pStyle w:val="ListBullet"/>
      </w:pPr>
      <w:r>
        <w:t>3. | Die Wirksamkeit eines immunologischen Tierarzneimittels ist für jede Kategorie der für die Impfung empfohlenen Zieltierarten nachzuweisen, und zwar auf jedem empfohlenen Verabreichungsweg und unter Anwendung des vorgeschlagenen Verabreichungsschemas. Gegebenenfalls ist der Einfluss passiv erworbener und durch das Muttertier übertragener Antikörper auf die Wirksamkeit eines Impfstoffs angemessen zu bewerten. Von begründeten Ausnahmen abgesehen, sind das Einsetzen und die Dauer der Immunität durch Versuchsdaten nachzuweisen und zu erhärten.</w:t>
      </w:r>
    </w:p>
    <w:p>
      <w:pPr>
        <w:pStyle w:val="ListBullet"/>
      </w:pPr>
      <w:r>
        <w:t>4. | Die Wirksamkeit jedes einzelnen Bestandteils multivalenter und kombinierter immunologischer Tierarzneimittel ist nachzuweisen. Sofern das Arzneimittel zur Verabreichung in Kombination oder gleichzeitig mit einem anderen Tierarzneimittel empfohlen wird, ist deren Kompatibilität nachzuweisen.</w:t>
      </w:r>
    </w:p>
    <w:p>
      <w:pPr>
        <w:pStyle w:val="ListBullet"/>
      </w:pPr>
      <w:r>
        <w:t>5. | Ist das Arzneimittel Teil eines vom Antragsteller empfohlenen Impfschemas, ist die Anfangs- oder Boosterwirkung oder der Beitrag des immunologischen Tierarzneimittels zur Wirksamkeit des gesamten Impfschemas nachzuweisen.</w:t>
      </w:r>
    </w:p>
    <w:p>
      <w:pPr>
        <w:pStyle w:val="ListBullet"/>
      </w:pPr>
      <w:r>
        <w:t>6. | Die zu verwendende Dosis muss der Menge des Arzneimittels entsprechen, die für die Verwendung zu empfehlen ist, und die für die Wirksamkeitsversuche verwendete Charge muss von einer Charge bzw. Chargen stammen, die im Einklang mit dem in Teil 2 des Genehmigungsantrags beschriebenen Verfahren hergestellt sind.</w:t>
      </w:r>
    </w:p>
    <w:p>
      <w:pPr>
        <w:pStyle w:val="ListBullet"/>
      </w:pPr>
      <w:r>
        <w:t>7. | Enthält die Zusammenfassung der Merkmale des Tierarzneimittels eine Aussage über die Kompatibilität mit anderen immunologischen Arzneimitteln, ist die Wirksamkeit der Kombination zu untersuchen. Alle weiteren bekannten Wechselwirkungen mit irgendeinem anderen Tierarzneimittel sind zu beschreiben. Falls dies durch geeignete Untersuchungen bestätigt wird, ist eine kombinierte oder gleichzeitige Anwendung zulässig.</w:t>
      </w:r>
    </w:p>
    <w:p>
      <w:pPr>
        <w:pStyle w:val="ListBullet"/>
      </w:pPr>
      <w:r>
        <w:t>8. | Für diagnostische immunologische Tierarzneimittel, die am Tier verwendet werden, muss der Antragsteller angeben, wie Reaktionen auf das Arzneimittel zu interpretieren sind.</w:t>
      </w:r>
    </w:p>
    <w:p>
      <w:pPr>
        <w:pStyle w:val="ListBullet"/>
      </w:pPr>
      <w:r>
        <w:t>9. | Bei Impfstoffen, die eine Unterscheidung zwischen geimpften und infizierten Tieren ermöglichen sollen (Marker-Impfstoffe), müssen ausreichende Daten über die Diagnoseversuche vorgelegt werden, damit eine angemessene Beurteilung der behaupteten Marker-Eigenschaften möglich ist, falls sich die behauptete Wirksamkeit auf In-vitro-Diagnoseversuche stützt.</w:t>
      </w:r>
    </w:p>
    <w:p>
      <w:pPr>
        <w:pStyle w:val="Heading1"/>
      </w:pPr>
      <w:r>
        <w:t>ANHANG II (Fortsetzung)</w:t>
      </w:r>
    </w:p>
    <w:p>
      <w:pPr>
        <w:pStyle w:val="Heading2"/>
      </w:pPr>
      <w:r>
        <w:t>B. LABORVERSUCHE</w:t>
      </w:r>
    </w:p>
    <w:p>
      <w:r>
        <w:rPr>
          <w:b/>
        </w:rPr>
        <w:t>Tabelle (zeilenweise wiedergegeben):</w:t>
      </w:r>
    </w:p>
    <w:p>
      <w:pPr>
        <w:pStyle w:val="ListBullet"/>
      </w:pPr>
      <w:r>
        <w:t>1. | Grundsätzlich muss der Nachweis der Wirksamkeit unter kontrollierten Laborbedingungen durch eine Provokationsprobe nach Verabreichung des immunologischen Tierarzneimittels an das Zieltier unter den empfohlenen Anwendungsbedingungen erfolgen. Soweit möglich, müssen die Bedingungen, unter denen die Belastungsinfektion erfolgt, die natürlichen Infektionsbedingungen simulieren. Es sind genaue Angaben zum Infektionsstamm und zu seiner Relevanz zu machen. Bei Lebendimpfstoffen sind die Chargen mit dem geringsten Titer bzw. der geringsten Potenz zu verwenden; andernfalls ist dies zu begründen. Bei anderen Arzneimitteln sind die Chargen mit dem geringsten Wirkstoffgehalt zu verwenden; andernfalls ist dies zu begründen.</w:t>
      </w:r>
    </w:p>
    <w:p>
      <w:pPr>
        <w:pStyle w:val="ListBullet"/>
      </w:pPr>
      <w:r>
        <w:t>2. | Der Immunmechanismus (zellständige/humorale, lokale/allgemeine Immunglobulinklassen), der nach der Verabreichung des immunologischen Tierarzneimittels an Zieltiere auf dem empfohlenen Verabreichungsweg einsetzt, ist, wenn möglich, zu spezifizieren und zu dokumentieren.</w:t>
      </w:r>
    </w:p>
    <w:p>
      <w:pPr>
        <w:pStyle w:val="Heading1"/>
      </w:pPr>
      <w:r>
        <w:t>ANHANG II (Fortsetzung)</w:t>
      </w:r>
    </w:p>
    <w:p>
      <w:pPr>
        <w:pStyle w:val="Heading2"/>
      </w:pPr>
      <w:r>
        <w:t>C. FELDVERSUCHE</w:t>
      </w:r>
    </w:p>
    <w:p>
      <w:r>
        <w:rPr>
          <w:b/>
        </w:rPr>
        <w:t>Tabelle (zeilenweise wiedergegeben):</w:t>
      </w:r>
    </w:p>
    <w:p>
      <w:pPr>
        <w:pStyle w:val="ListBullet"/>
      </w:pPr>
      <w:r>
        <w:t>1. | Von begründeten Ausnahmen abgesehen, müssen die Ergebnisse der Laborversuche durch Daten aus Feldversuchen ergänzt werden, bei denen Chargen verwendet werden, die mit dem im Zulassungsantrag beschriebenen Herstellungsverfahren übereinstimmen. Sowohl die Unbedenklichkeit als auch die Wirksamkeit können in demselben Feldversuch untersucht werden.</w:t>
      </w:r>
    </w:p>
    <w:p>
      <w:pPr>
        <w:pStyle w:val="ListBullet"/>
      </w:pPr>
      <w:r>
        <w:t>2. | Soweit die Wirksamkeit durch Laborversuche nicht bestätigt werden kann, ist die alleinige Durchführung von Feldversuchen annehmbar.</w:t>
      </w:r>
    </w:p>
    <w:p>
      <w:pPr>
        <w:pStyle w:val="Heading1"/>
      </w:pPr>
      <w:r>
        <w:t>ANHANG II (Fortsetzung)</w:t>
      </w:r>
    </w:p>
    <w:p>
      <w:pPr>
        <w:pStyle w:val="Heading2"/>
      </w:pPr>
      <w:r>
        <w:t>TEIL 5</w:t>
      </w:r>
    </w:p>
    <w:p>
      <w:pPr>
        <w:pStyle w:val="Heading1"/>
      </w:pPr>
      <w:r>
        <w:t>ANHANG II (Fortsetzung)</w:t>
      </w:r>
    </w:p>
    <w:p>
      <w:pPr>
        <w:pStyle w:val="Heading2"/>
      </w:pPr>
      <w:r>
        <w:t>Angaben und unterlagen</w:t>
      </w:r>
    </w:p>
    <w:p>
      <w:pPr>
        <w:pStyle w:val="Heading1"/>
      </w:pPr>
      <w:r>
        <w:t>ANHANG II (Fortsetzung)</w:t>
      </w:r>
    </w:p>
    <w:p>
      <w:pPr>
        <w:pStyle w:val="Heading2"/>
      </w:pPr>
      <w:r>
        <w:t>A. EINLEITUNG</w:t>
      </w:r>
    </w:p>
    <w:p>
      <w:r>
        <w:t>Das Dossier über die Unbedenklichkeits- und Wirksamkeitsversuche muss eine Einleitung, in der die Fragestellung definiert und die Versuche genannt werden, die im Einklang mit den Teilen 3 und 4 durchgeführt wurden, sowie eine Zusammenfassung mit ausführlichen Verweisen auf die Fachliteratur enthalten. Diese Zusammenfassung muss eine objektive Erörterung aller erzielten Ergebnisse mit einer daraus resultierenden Schlussfolgerung in Bezug auf die Unbedenklichkeit und Wirksamkeit des immunologischen Tierarzneimittels enthalten. Unterbleibt ein Versuch bzw. eine Prüfung, so ist dies anzugeben und zu begründen.</w:t>
      </w:r>
    </w:p>
    <w:p>
      <w:pPr>
        <w:pStyle w:val="Heading1"/>
      </w:pPr>
      <w:r>
        <w:t>ANHANG II (Fortsetzung)</w:t>
      </w:r>
    </w:p>
    <w:p>
      <w:pPr>
        <w:pStyle w:val="Heading2"/>
      </w:pPr>
      <w:r>
        <w:t>B. LABORVERSUCHE</w:t>
      </w:r>
    </w:p>
    <w:p>
      <w:r>
        <w:t>Für alle Versuche ist Folgendes vorzulegen:</w:t>
      </w:r>
    </w:p>
    <w:p>
      <w:r>
        <w:t>1. eine Zusammenfassung;</w:t>
      </w:r>
    </w:p>
    <w:p>
      <w:r>
        <w:t>2. der Name der Versuchsanstalt;</w:t>
      </w:r>
    </w:p>
    <w:p>
      <w:r>
        <w:t>3. ein ausführliches Versuchsprotokoll mit einer Beschreibung der angewandten Methoden, Geräte und Materialien, Einzelheiten wie Tierart oder -rasse, Tierkategorien, Herkunft, Bezeichnung und Anzahl, Haltungs- und Fütterungsbedingungen (unter anderem, ob sie frei von allen genannten Krankheitserregern und/oder genannten Antikörpern sind, Art und Menge der Futterzusätze), Dosis, Verabreichungsweg, Verabreichungsschema und -zeiten sowie eine Beschreibung und Begründung der angewandten statistischen Methoden;</w:t>
      </w:r>
    </w:p>
    <w:p>
      <w:r>
        <w:t>4. bei Kontrolltieren die Angabe, ob sie ein Placebo oder keine Behandlung erhalten haben;</w:t>
      </w:r>
    </w:p>
    <w:p>
      <w:r>
        <w:t>5. bei behandelten Tieren gegebenenfalls die Angabe, ob sie das zu prüfende oder ein anderes in der Gemeinschaft genehmigtes Tierarzneimittel erhalten haben;</w:t>
      </w:r>
    </w:p>
    <w:p>
      <w:r>
        <w:t>6. alle allgemeinen und einzelnen Beobachtungen und erzielten Ergebnisse (mit Durchschnittswerten und Standardabweichungen), und zwar sowohl günstige als auch ungünstige. Die Angaben sind so ausführlich zu machen, dass die Ergebnisse unabhängig von ihren Interpretationen durch den Autor kritisch bewertet werden können. Rohdaten sind in Tabellenform vorzulegen. Zur Erläuterung und Illustration können den Ergebnissen Kopien von Protokollen, Mikrobilder usw. beigefügt werden;</w:t>
      </w:r>
    </w:p>
    <w:p>
      <w:r>
        <w:t>7. Art, Häufigkeit des Auftretens und Dauer der beobachteten Nebenwirkungen;</w:t>
      </w:r>
    </w:p>
    <w:p>
      <w:r>
        <w:t>8. die Anzahl der Tiere, die vorzeitig aus den Versuchen genommen wurden, mit entsprechender Begründung;</w:t>
      </w:r>
    </w:p>
    <w:p>
      <w:r>
        <w:t>9. eine statistische Analyse der Ergebnisse, sofern das Versuchsprogramm dies erfordert, und Varianz der Daten;</w:t>
      </w:r>
    </w:p>
    <w:p>
      <w:r>
        <w:t>10. Auftreten und Verlauf während des Versuchs einsetzender Erkrankungen;</w:t>
      </w:r>
    </w:p>
    <w:p>
      <w:r>
        <w:t>11. alle Einzelheiten in Bezug auf Tierarzneimittel (anderer Art als das Prüfpräparat), deren Verabreichung im Verlauf des Versuchs erforderlich war;</w:t>
      </w:r>
    </w:p>
    <w:p>
      <w:r>
        <w:t>12. eine objektive Erörterung der erzielten Ergebnisse mit Schlussfolgerungen über die Unbedenklichkeit und Wirksamkeit des Erzeugnisses.</w:t>
      </w:r>
    </w:p>
    <w:p>
      <w:pPr>
        <w:pStyle w:val="Heading1"/>
      </w:pPr>
      <w:r>
        <w:t>ANHANG II (Fortsetzung)</w:t>
      </w:r>
    </w:p>
    <w:p>
      <w:pPr>
        <w:pStyle w:val="Heading2"/>
      </w:pPr>
      <w:r>
        <w:t>C. FELDVERSUCHE</w:t>
      </w:r>
    </w:p>
    <w:p>
      <w:r>
        <w:t>Die Angaben zu den Feldversuchen müssen so ausführlich sein, dass eine objektive Beurteilung möglich ist. Sie müssen Folgendes enthalten:</w:t>
      </w:r>
    </w:p>
    <w:p>
      <w:r>
        <w:t>1. eine Zusammenfassung;</w:t>
      </w:r>
    </w:p>
    <w:p>
      <w:r>
        <w:t>2. Name, Anschrift, Funktion und Qualifikationen des verantwortlichen Versuchsleiters;</w:t>
      </w:r>
    </w:p>
    <w:p>
      <w:r>
        <w:t>3. Ort und Zeitpunkt der Verabreichung, Identitätscode, der einen Rückschluss auf Namen und Anschrift des Tiereigentümers zulässt;</w:t>
      </w:r>
    </w:p>
    <w:p>
      <w:r>
        <w:t>4. Einzelheiten des Versuchsprotokolls mit einer Beschreibung der angewandten Methoden sowie der verwendeten Geräte und Materialien, Angaben wie die Art der Verabreichung, das Verabreichungsschema, die Dosis, die Tierkategorien, der Beobachtungszeitraum, die serologische Reaktion und sonstige an den Tieren nach der Verabreichung vorgenommene Untersuchungen;</w:t>
      </w:r>
    </w:p>
    <w:p>
      <w:r>
        <w:t>5. bei Kontrolltieren die Angabe, ob sie ein Placebo oder keine Behandlung erhalten haben;</w:t>
      </w:r>
    </w:p>
    <w:p>
      <w:r>
        <w:t>6. Identifizierung der behandelten und der Kontrolltiere (fallweise kollektiv oder individuell), nach Art, Rasse oder Stamm, Alter, Gewicht, Geschlecht, physiologischer Status;</w:t>
      </w:r>
    </w:p>
    <w:p>
      <w:r>
        <w:t>7. eine kurze Beschreibung der Aufzucht- und Fütterungsmethoden unter Angabe von Art und Menge jedes einzelnen Fütterungszusatzes;</w:t>
      </w:r>
    </w:p>
    <w:p>
      <w:r>
        <w:t>8. alle Angaben über Beobachtungen, Leistungen und Ergebnisse (Durchschnittswerte und Standardabweichungen); individuelle Daten sind anzugeben, wenn Versuche und Messungen an Einzeltieren vorgenommen wurden;</w:t>
      </w:r>
    </w:p>
    <w:p>
      <w:r>
        <w:t>9. alle Beobachtungen und Ergebnisse von Untersuchungen, ob günstig oder ungünstig, bei vollständiger Angabe der Beobachtungen und Ergebnisse der objektiven Wirksamkeitsversuche, die zur Bewertung des Arzneimittels erforderlich sind; die Methoden müssen spezifiziert und die Signifikanz aller Ergebnisschwankungen erläutert werden;</w:t>
      </w:r>
    </w:p>
    <w:p>
      <w:r>
        <w:t>10. Auswirkungen auf die Nutzleistung des Tieres;</w:t>
      </w:r>
    </w:p>
    <w:p>
      <w:r>
        <w:t>11. die Anzahl der Tiere, die vorzeitig aus den Versuchen genommen wurden, mit entsprechender Begründung;</w:t>
      </w:r>
    </w:p>
    <w:p>
      <w:r>
        <w:t>12. Art, Häufigkeit des Auftretens und Dauer der beobachteten Nebenwirkungen;</w:t>
      </w:r>
    </w:p>
    <w:p>
      <w:r>
        <w:t>13. Auftreten und Verlauf während des Versuchs einsetzender Erkrankungen;</w:t>
      </w:r>
    </w:p>
    <w:p>
      <w:r>
        <w:t>14. alle Einzelheiten in Bezug auf Tierarzneimittel (anderer Art als das Prüfpräparat), die entweder vor oder gleichzeitig mit dem Prüfpräparat oder während des Beobachtungszeitraums verabreicht wurden; genaue Angaben der beobachteten Wechselwirkungen;</w:t>
      </w:r>
    </w:p>
    <w:p>
      <w:r>
        <w:t>15. eine objektive Erörterung der erzielten Ergebnisse mit Schlussfolgerungen über die Unbedenklichkeit und Wirksamkeit des Arzneimittels.</w:t>
      </w:r>
    </w:p>
    <w:p>
      <w:pPr>
        <w:pStyle w:val="Heading1"/>
      </w:pPr>
      <w:r>
        <w:t>ANHANG II (Fortsetzung)</w:t>
      </w:r>
    </w:p>
    <w:p>
      <w:pPr>
        <w:pStyle w:val="Heading2"/>
      </w:pPr>
      <w:r>
        <w:t>TEIL 6</w:t>
      </w:r>
    </w:p>
    <w:p>
      <w:pPr>
        <w:pStyle w:val="Heading1"/>
      </w:pPr>
      <w:r>
        <w:t>ANHANG II (Fortsetzung)</w:t>
      </w:r>
    </w:p>
    <w:p>
      <w:pPr>
        <w:pStyle w:val="Heading2"/>
      </w:pPr>
      <w:r>
        <w:t>Quellenangaben</w:t>
      </w:r>
    </w:p>
    <w:p>
      <w:r>
        <w:t>Alle in der Zusammenfassung gemäß Teil 1 genannten Quellenangaben sind im Einzelnen aufzulisten und in Kopie vorzulegen.</w:t>
      </w:r>
    </w:p>
    <w:p>
      <w:pPr>
        <w:pStyle w:val="Heading1"/>
      </w:pPr>
      <w:r>
        <w:t>ANHANG II (Fortsetzung)</w:t>
      </w:r>
    </w:p>
    <w:p>
      <w:pPr>
        <w:pStyle w:val="Heading2"/>
      </w:pPr>
      <w:r>
        <w:t>TITEL III</w:t>
      </w:r>
    </w:p>
    <w:p>
      <w:pPr>
        <w:pStyle w:val="Heading1"/>
      </w:pPr>
      <w:r>
        <w:t>ANHANG II (Fortsetzung)</w:t>
      </w:r>
    </w:p>
    <w:p>
      <w:pPr>
        <w:pStyle w:val="Heading2"/>
      </w:pPr>
      <w:r>
        <w:t>Vorschriften für bestimmte zulassungsanträge</w:t>
      </w:r>
    </w:p>
    <w:p>
      <w:pPr>
        <w:pStyle w:val="Heading1"/>
      </w:pPr>
      <w:r>
        <w:t>ANHANG II (Fortsetzung)</w:t>
      </w:r>
    </w:p>
    <w:p>
      <w:pPr>
        <w:pStyle w:val="Heading2"/>
      </w:pPr>
      <w:r>
        <w:t>1. Tierarzneimittel-Generika</w:t>
      </w:r>
    </w:p>
    <w:p>
      <w:r>
        <w:t>Anträge aufgrund von Artikel 13 (generische Tierarzneimittel) müssen enthalten: die in Titel I Teile 1 und 2 dieses Anhangs genannten Daten zusammen mit einer Umweltverträglichkeitsprüfung, Daten, die belegen, dass das Arzneimittel dieselbe qualitative und quantitative Wirkstoffzusammensetzung und dieselbe Darreichungsform aufweist wie das Referenzarzneimittel, sowie Daten, die die Bioäquivalenz mit dem Referenzarzneimittel zeigen. Handelt es sich bei dem Referenzarzneimittel um ein biologisches Arzneimittel, sind die Dokumentationsvorschriften von Abschnitt 2 für ähnliche biologische Tierarzneimittel zu erfüllen.</w:t>
      </w:r>
    </w:p>
    <w:p>
      <w:r>
        <w:t>Bei generischen Tierarzneimitteln müssen die ausführlichen kritischen Zusammenfassungen über die Unbedenklichkeit und Wirksamkeit insbesondere auf folgende Elemente abstellen:</w:t>
      </w:r>
    </w:p>
    <w:p>
      <w:r>
        <w:t>— die Begründung für die Behauptung der wesentlichen Gleichheit,</w:t>
      </w:r>
    </w:p>
    <w:p>
      <w:r>
        <w:t>— eine Zusammenstellung der auftretenden Verunreinigungen in Chargen der Wirkstoffe und des Fertigarzneimittels (sowie gegebenenfalls die während der Lagerung auftretenden Zersetzungsprodukte), wie sie für das Arzneimittel angegeben werden, das in Verkehr gebracht werden soll, sowie die Bewertung dieser Verunreinigungen,</w:t>
      </w:r>
    </w:p>
    <w:p>
      <w:r>
        <w:t>— eine Bewertung der Bioäquivalenzstudien bzw. eine Begründung, warum keine Studien unter Beachtung festgelegter Leitfäden durchgeführt wurden,</w:t>
      </w:r>
    </w:p>
    <w:p>
      <w:r>
        <w:t>— sofern zutreffend, müssen vom Antragsteller ergänzende Daten vorgelegt werden, die die Gleichwertigkeit in Bezug auf Unbedenklichkeit und Wirksamkeit unterschiedlicher Salze, Ester oder Derivate eines zugelassenen Wirkstoffs belegen; derartige Daten müssen belegen, dass es zu keiner Veränderung bei der Pharmakokinetik oder Pharmakodynamik des therapeutisch wirksamen Anteils und/oder bei der Toxizität kommt, die sich auf das Unbedenklichkeits-/Wirksamkeitsprofil auswirken könnte.</w:t>
      </w:r>
    </w:p>
    <w:p>
      <w:r>
        <w:t>Jede Behauptung in der Zusammenfassung der Merkmale des Arzneimittels, die nicht anhand der Eigenschaften des Arzneimittels und/oder seiner therapeutischen Kategorie erkennbar oder daraus ableitbar ist, sollte in den präklinischen/klinischen Übersichten/Zusammenfassungen erörtert und durch erschienene Veröffentlichungen und/oder zusätzliche Studien erhärtet werden.</w:t>
      </w:r>
    </w:p>
    <w:p>
      <w:r>
        <w:t>Bei generischen Tierarzneimitteln, die intramuskulär, subkutan oder transdermal verabreicht werden sollen, sind folgende zusätzliche Daten vorzulegen:</w:t>
      </w:r>
    </w:p>
    <w:p>
      <w:r>
        <w:t>— Belege zum Nachweis eines gleichwertigen oder abweichenden Abbaus von Rückständen an der Verabreichungsstelle, die durch geeignete Untersuchungen über den Rückstandsabbau erhärtet werden können,</w:t>
      </w:r>
    </w:p>
    <w:p>
      <w:r>
        <w:t>— Belege zum Nachweis der Verträglichkeit an der Verabreichungsstelle beim Zieltier, die durch geeignete Verträglichkeitsstudien beim Zieltier erhärtet werden können.</w:t>
      </w:r>
    </w:p>
    <w:p>
      <w:pPr>
        <w:pStyle w:val="Heading1"/>
      </w:pPr>
      <w:r>
        <w:t>ANHANG II (Fortsetzung)</w:t>
      </w:r>
    </w:p>
    <w:p>
      <w:pPr>
        <w:pStyle w:val="Heading2"/>
      </w:pPr>
      <w:r>
        <w:t>2. Biologische Arzneimittel, die im Wesentlichen einem bereits zugelassenen Tierarzneimittel gleichen</w:t>
      </w:r>
    </w:p>
    <w:p>
      <w:r>
        <w:t>Falls gemäß Artikel 13 Absatz 4 ein biologisches Tierarzneimittel, das einem biologischen Referenztierarzneimittel ähnlich ist, die in der Definition von Generika enthaltenen Bedingungen nicht erfüllt, dürfen sich die vorzulegenden Informationen nicht auf die Teile 1 und 2 (pharmazeutische, chemische und biologische Daten), ergänzt durch Daten zur Bioäquivalenz und Bioverfügbarkeit, beschränken. In solchen Fällen sind zusätzliche Daten, insbesondere über die Unbedenklichkeit und Wirksamkeit des Arzneimittels, vorzulegen.</w:t>
      </w:r>
    </w:p>
    <w:p>
      <w:r>
        <w:t>— Die Art und Menge der zusätzlichen Daten (d. h. toxikologische und andere Unbedenklichkeitsversuche und sachdienliche klinische Untersuchungen) sind je nach Einzelfall entsprechend den einschlägigen wissenschaftlichen Leitlinien festzulegen.</w:t>
      </w:r>
    </w:p>
    <w:p>
      <w:r>
        <w:t>— Aufgrund der Verschiedenartigkeit von biologischen Tierarzneimitteln ist von der zuständigen Behörde unter Berücksichtigung der spezifischen Merkmale jedes einzelnen biologischen Tierarzneimittels festzulegen, welche der in den Teilen 3 und 4 vorgesehenen Studien verlangt werden müssen.</w:t>
      </w:r>
    </w:p>
    <w:p>
      <w:r>
        <w:t>Die geltenden allgemeinen Grundsätze sind von der Agentur in einer von ihr zu veröffentlichenden Leitlinie vorzugeben, in der die Merkmale des betreffenden biologischen Tierarzneimittels berücksichtigt werden. Hat das biologische Referenztierarzneimittel mehr als eine Indikation, so sind Wirksamkeit und Unbedenklichkeit des diesem angeblich gleichen biologischen Tierarzneimittels zu begründen oder, falls erforderlich, für jede der behaupteten Indikationen einzeln nachzuweisen.</w:t>
      </w:r>
    </w:p>
    <w:p>
      <w:pPr>
        <w:pStyle w:val="Heading1"/>
      </w:pPr>
      <w:r>
        <w:t>ANHANG II (Fortsetzung)</w:t>
      </w:r>
    </w:p>
    <w:p>
      <w:pPr>
        <w:pStyle w:val="Heading2"/>
      </w:pPr>
      <w:r>
        <w:t>3. Allgemeine tiermedizinische Verwendung</w:t>
      </w:r>
    </w:p>
    <w:p>
      <w:r>
        <w:t>Bei Tierarzneimitteln gemäß Artikel 13a, deren Wirkstoffe „allgemein tiermedizinisch verwendet“ werden und die eine anerkannte Wirksamkeit sowie einen annehmbaren Grad an Unbedenklichkeit aufweisen, gelten die folgenden Sonderregelungen.</w:t>
      </w:r>
    </w:p>
    <w:p>
      <w:r>
        <w:t>Der Antragsteller muss die Teile 1 und 2, wie in Titel I dieses Anhangs beschrieben, vorlegen.</w:t>
      </w:r>
    </w:p>
    <w:p>
      <w:r>
        <w:t>In Bezug auf die Teile 3 und 4 müssen alle Aspekte der Unbedenklichkeit und Wirksamkeit in einer ausführlichen wissenschaftlichen Bibliografie erfasst werden.</w:t>
      </w:r>
    </w:p>
    <w:p>
      <w:r>
        <w:t>Die nachstehenden spezifischen Regeln gelten für den Nachweis der allgemeinen tiermedizinischen Verwendung:</w:t>
      </w:r>
    </w:p>
    <w:p>
      <w:r>
        <w:t>3.1. Für den Nachweis, dass Bestandteile von Tierarzneimitteln allgemein tiermedizinisch verwendet werden, sind folgende Faktoren maßgeblich:</w:t>
      </w:r>
    </w:p>
    <w:p>
      <w:r>
        <w:t>a) der Zeitraum, über den ein Wirkstoff verwendet wurde,</w:t>
      </w:r>
    </w:p>
    <w:p>
      <w:r>
        <w:t>b) die quantitativen Aspekte der Verwendung des Wirkstoffs,</w:t>
      </w:r>
    </w:p>
    <w:p>
      <w:r>
        <w:t>c) der Umfang des wissenschaftlichen Interesses an der Verwendung des Wirkstoffs (wie er aus den dazu erschienenen wissenschaftlichen Veröffentlichungen hervorgeht),</w:t>
      </w:r>
    </w:p>
    <w:p>
      <w:r>
        <w:t>d) die Einheitlichkeit der wissenschaftlichen Beurteilung.</w:t>
      </w:r>
    </w:p>
    <w:p>
      <w:r>
        <w:t>Bei verschiedenen Stoffen können zum Nachweis ihrer allgemeinen tiermedizinischen Verwendung auch unterschiedliche Zeiträume erforderlich sein. Der Nachweis der allgemeinen tiermedizinischen Verwendung eines Arzneimittelbestandteils darf jedoch frühestens zehn Jahre, nachdem der betreffende Stoff erstmals systematisch und dokumentiert in der Gemeinschaft als Tierarzneimittel verwendet wurde, erbracht werden.</w:t>
      </w:r>
    </w:p>
    <w:p>
      <w:r>
        <w:t>3.2. Der Antragsteller muss in den Unterlagen, die er einreicht, auf alle Aspekte der Beurteilung der Unbedenklichkeit und/oder Wirksamkeit des Arzneimittels für die vorgeschlagene Indikation bei der Zieltierart unter Verwendung des vorgeschlagenen Verabreichungswegs und Dosierungsschemas eingehen. Sie müssen einen Überblick über die einschlägigen Veröffentlichungen umfassen bzw. auf einen solchen verweisen; dabei sind vor und nach dem Inverkehrbringen durchgeführte Studien und wissenschaftliche Veröffentlichungen über die Erfahrungen aus epidemiologischen Studien, insbesondere vergleichenden epidemiologischen Studien, zu berücksichtigen. Alle Unterlagen, sowohl günstige als auch ungünstige, sind vorzulegen. In Bezug auf die Vorschriften über die allgemeine tiermedizinische Verwendung ist insbesondere zu präzisieren, dass auch ein bibliografischer Verweis auf andere Informationsquellen (beispielsweise Untersuchungen nach dem Inverkehrbringen, epidemiologische Studien usw.) und nicht nur Daten von Versuchen und Prüfungen als gültiger Nachweis für die Unbedenklichkeit und Wirksamkeit eines Arzneimittels dienen können, wenn in dem Antrag hinreichend erläutert und begründet wird, warum diese Informationsquellen angeführt werden.</w:t>
      </w:r>
    </w:p>
    <w:p>
      <w:r>
        <w:t>3.3. Besondere Aufmerksamkeit ist auf etwaige fehlende Informationen zu richten und es ist zu begründen, warum der Nachweis eines annehmbaren Grades an Unbedenklichkeit und/oder Wirksamkeit erbracht werden kann, obwohl bestimmte Studien fehlen.</w:t>
      </w:r>
    </w:p>
    <w:p>
      <w:r>
        <w:t>3.4. Aus den ausführlichen kritischen Zusammenfassungen über die Unbedenklichkeit und Wirksamkeit muss hervorgehen, inwiefern vorgelegte Daten, die ein anderes als das in Verkehr zu bringende Arzneimittel betreffen, relevant sind. Es ist zu beurteilen, ob das geprüfte Arzneimittel trotz der bestehenden Unterschiede als demjenigen Arzneimittel gleich betrachtet werden kann, für das der Antrag auf Genehmigung für das Inverkehrbringen gestellt wurde.</w:t>
      </w:r>
    </w:p>
    <w:p>
      <w:r>
        <w:t>3.5. Nach dem Inverkehrbringen gemachte Erfahrungen mit anderen Arzneimitteln, die die gleichen Bestandteile enthalten, sind von besonderer Bedeutung, und die Antragsteller müssen diesen Aspekt besonders berücksichtigen.</w:t>
      </w:r>
    </w:p>
    <w:p>
      <w:pPr>
        <w:pStyle w:val="Heading1"/>
      </w:pPr>
      <w:r>
        <w:t>ANHANG II (Fortsetzung)</w:t>
      </w:r>
    </w:p>
    <w:p>
      <w:pPr>
        <w:pStyle w:val="Heading2"/>
      </w:pPr>
      <w:r>
        <w:t>4. Tierarzneimittel aus kombinierten Wirkstoffen</w:t>
      </w:r>
    </w:p>
    <w:p>
      <w:r>
        <w:t>Bei Anträgen aufgrund von Artikel 13b ist ein Dossier mit den Teilen 1, 2, 3 und 4 für das Tierarzneimittel aus kombinierten Wirkstoffen einzureichen. Es ist nicht erforderlich, Studien zur Unbedenklichkeit und Wirksamkeit jedes einzelnen Wirkstoffs vorzulegen. Es soll aber möglich sein, in den Antrag für eine fixe Wirkstoffkombination Informationen über die einzelnen Wirkstoffe aufzunehmen. Die Vorlage von Daten über jeden einzelnen Wirkstoff zusammen mit den vorgeschriebenen Studien über die Anwendersicherheit, Studien über den Rückstandsabbau und klinischen Studien über das Arzneimittel mit fixer Kombination können als angemessene Begründung dafür gelten, dass keine Daten über das Kombinationsarzneimittel vorgelegt werden, um unnötige Tierversuche im Interesse des Wohlergehens der Tiere zu vermeiden, es sei denn, es besteht Verdacht auf Wechselwirkungen, die zu verstärkter Toxizität führen. Gegebenenfalls sind Angaben zu den Herstellungsstandorten und zur Unbedenklichkeitsbewertung von möglichen Kontaminanten vorzulegen.</w:t>
      </w:r>
    </w:p>
    <w:p>
      <w:pPr>
        <w:pStyle w:val="Heading1"/>
      </w:pPr>
      <w:r>
        <w:t>ANHANG II (Fortsetzung)</w:t>
      </w:r>
    </w:p>
    <w:p>
      <w:pPr>
        <w:pStyle w:val="Heading2"/>
      </w:pPr>
      <w:r>
        <w:t>5. Anträge aufgrund einer in Kenntnis der Sachlage erteilten Einwilligung des Genehmigungsinhabers</w:t>
      </w:r>
    </w:p>
    <w:p>
      <w:r>
        <w:t>Anträge, die auf Artikel 13c beruhen, müssen die unter Titel 1 Teil 1 dieses Anhangs beschriebenen Angaben enthalten, vorausgesetzt der Antragsteller hat die Einwilligung des Inhabers der Genehmigung für das Inverkehrbringen des ursprünglichen Tierarzneimittels erhalten, dass er auf den Inhalt der Teile 2, 3 und 4 des Dossiers dieses Arzneimittels zurückgreifen darf. In diesem Fall brauchen keine ausführlichen kritischen Zusammenfassungen über die Qualität, Unbedenklichkeit und Wirksamkeit vorgelegt zu werden.</w:t>
      </w:r>
    </w:p>
    <w:p>
      <w:pPr>
        <w:pStyle w:val="Heading1"/>
      </w:pPr>
      <w:r>
        <w:t>ANHANG II (Fortsetzung)</w:t>
      </w:r>
    </w:p>
    <w:p>
      <w:pPr>
        <w:pStyle w:val="Heading2"/>
      </w:pPr>
      <w:r>
        <w:t>6. Unterlagen für Anträge unter außergewöhnlichen Umständen</w:t>
      </w:r>
    </w:p>
    <w:p>
      <w:r>
        <w:t>Eine Genehmigung für das Inverkehrbringen kann vorbehaltlich ganz bestimmter Verpflichtungen erteilt werden: Falls der Antragsteller, wie in Artikel 26 Absatz 3 dieser Richtlinie festgelegt, nachweisen kann, dass er keine vollständigen Auskünfte über die Wirksamkeit und Unbedenklichkeit bei bestimmungsgemäßem Gebrauch erteilen kann, muss er besondere Verfahren einführen, die insbesondere die Unbedenklichkeit und Wirksamkeit des Tierarzneimittels betreffen.</w:t>
      </w:r>
    </w:p>
    <w:p>
      <w:r>
        <w:t>Wesentliche Vorschriften für alle in diesem Abschnitt genannten Anträge sollten anhand von Leitlinien festgelegt werden, die von der Agentur zu verabschieden sind.</w:t>
      </w:r>
    </w:p>
    <w:p>
      <w:pPr>
        <w:pStyle w:val="Heading1"/>
      </w:pPr>
      <w:r>
        <w:t>ANHANG II (Fortsetzung)</w:t>
      </w:r>
    </w:p>
    <w:p>
      <w:pPr>
        <w:pStyle w:val="Heading2"/>
      </w:pPr>
      <w:r>
        <w:t>7. Kombinierte Genehmigungsanträge</w:t>
      </w:r>
    </w:p>
    <w:p>
      <w:r>
        <w:t>Unter kombinierten Anträgen auf Genehmigung für das Inverkehrbringen sind Anträge zu verstehen, bei denen der Teil 3 und/oder der Teil 4 des Dossiers aus vom Antragsteller durchgeführten Unbedenklichkeits- und Wirksamkeitsstudien sowie aus bibliografischen Unterlagen bestehen. Alle übrigen Teile entsprechen dem in Titel I Teil 1 dieses Anhangs beschriebenen Aufbau. Die zuständige Behörde entscheidet je nach Einzelfall, ob die vom Antragsteller vorgelegte Form zulässig ist.</w:t>
      </w:r>
    </w:p>
    <w:p>
      <w:pPr>
        <w:pStyle w:val="Heading1"/>
      </w:pPr>
      <w:r>
        <w:t>ANHANG II (Fortsetzung)</w:t>
      </w:r>
    </w:p>
    <w:p>
      <w:pPr>
        <w:pStyle w:val="Heading2"/>
      </w:pPr>
      <w:r>
        <w:t>TITEL IV</w:t>
      </w:r>
    </w:p>
    <w:p>
      <w:pPr>
        <w:pStyle w:val="Heading1"/>
      </w:pPr>
      <w:r>
        <w:t>ANHANG II (Fortsetzung)</w:t>
      </w:r>
    </w:p>
    <w:p>
      <w:pPr>
        <w:pStyle w:val="Heading2"/>
      </w:pPr>
      <w:r>
        <w:t>Vorschriften für zulassungsanträge für besondere tierarzneimittel</w:t>
      </w:r>
    </w:p>
    <w:p>
      <w:r>
        <w:t>In diesem Teil werden für bestimmte Tierarzneimittel je nach Eigenart der darin enthaltenen Wirkstoffe spezifische Vorschriften festgelegt.</w:t>
      </w:r>
    </w:p>
    <w:p>
      <w:pPr>
        <w:pStyle w:val="Heading1"/>
      </w:pPr>
      <w:r>
        <w:t>ANHANG II (Fortsetzung)</w:t>
      </w:r>
    </w:p>
    <w:p>
      <w:pPr>
        <w:pStyle w:val="Heading2"/>
      </w:pPr>
      <w:r>
        <w:t>1. Immunologische tierarzneimittel</w:t>
      </w:r>
    </w:p>
    <w:p>
      <w:pPr>
        <w:pStyle w:val="Heading1"/>
      </w:pPr>
      <w:r>
        <w:t>ANHANG II (Fortsetzung)</w:t>
      </w:r>
    </w:p>
    <w:p>
      <w:pPr>
        <w:pStyle w:val="Heading2"/>
      </w:pPr>
      <w:r>
        <w:t>A. IMPFANTIGEN-STAMMDOKUMENTATION</w:t>
      </w:r>
    </w:p>
    <w:p>
      <w:r>
        <w:t>Für bestimmte immunologische Tierarzneimittel wird abweichend von den Vorschriften für Wirkstoffe in Titel II Teil 2 Abschnitt C das Konzept einer Impfantigen-Stammdokumentation eingeführt.</w:t>
      </w:r>
    </w:p>
    <w:p>
      <w:r>
        <w:t>Im Sinne dieses Anhangs ist unter einer Impfantigen-Stammdokumentation ein eigenständiger Teil des Antragsdossiers für einen Impfstoff zu verstehen, in dem alle sachdienlichen Angaben zur Qualität jedes einzelnen Wirkstoffs, der Bestandteil dieses Tierarzneimittels ist, enthalten sind. Dieser eigenständige Teil kann für einen oder für mehrere monovalente und/oder kombinierte Impfstoffe gemeinsam gelten, die vom gleichen Antragsteller oder Genehmigungsinhaber eingereicht werden.</w:t>
      </w:r>
    </w:p>
    <w:p>
      <w:r>
        <w:t>Wissenschaftliche Leitfäden für die Einreichung und Bewertung einer Impfantigen-Stammdokumentation sind von der Agentur zu verabschieden. Das Verfahren für die Einreichung und Bewertung einer Impfantigen-Stammdokumentation richtet sich nach den Leitlinien, die die Kommission unter folgendem Titel veröffentlicht hat: Regelung der Arzneimittel in der Europäischen Union, Band 6B, Mitteilung an die Antragsteller.</w:t>
      </w:r>
    </w:p>
    <w:p>
      <w:pPr>
        <w:pStyle w:val="Heading1"/>
      </w:pPr>
      <w:r>
        <w:t>ANHANG II (Fortsetzung)</w:t>
      </w:r>
    </w:p>
    <w:p>
      <w:pPr>
        <w:pStyle w:val="Heading2"/>
      </w:pPr>
      <w:r>
        <w:t>B. MULTI-STRAIN-DOSSIER</w:t>
      </w:r>
    </w:p>
    <w:p>
      <w:r>
        <w:t>Für bestimmte immunologische Tierarzneimittel (Maul- und Klauenseuche, aviäre Influenza und Blauzungenkrankheit) wird abweichend von den Vorschriften für Wirkstoffe in Titel II Teil 2 Abschnitt C das Konzept eines Multi-Strain-Dossiers eingeführt.</w:t>
      </w:r>
    </w:p>
    <w:p>
      <w:r>
        <w:t>Unter einem Multi-Strain-Dossier ist ein Einzeldossier zu verstehen, das die sachdienlichen Daten für eine einmalige gründliche wissenschaftliche Beurteilung der verschiedenen möglichen Stämme/Kombinationen von Stämmen enthält und die Genehmigung von Impfstoffen gegen antigenvariable Viren ermöglicht.</w:t>
      </w:r>
    </w:p>
    <w:p>
      <w:r>
        <w:t>Wissenschaftliche Leitlinien für die Einreichung und Bewertung von Multi- Strain-Dossiers sind von der Agentur zu verabschieden. Das Verfahren für die Einreichung und Bewertung eines Multi-Strain-Dossiers richtet sich nach den Leitlinien, die die Kommission unter folgendem Titel veröffentlicht hat: Regelung der Arzneimittel in der Europäischen Union, Band 6B, Mitteilung an die Antragsteller.</w:t>
      </w:r>
    </w:p>
    <w:p>
      <w:pPr>
        <w:pStyle w:val="Heading1"/>
      </w:pPr>
      <w:r>
        <w:t>ANHANG II (Fortsetzung)</w:t>
      </w:r>
    </w:p>
    <w:p>
      <w:pPr>
        <w:pStyle w:val="Heading2"/>
      </w:pPr>
      <w:r>
        <w:t>2. Homöopathische tierarzneimittel</w:t>
      </w:r>
    </w:p>
    <w:p>
      <w:r>
        <w:t>In diesem Abschnitt werden die spezifischen Bestimmungen zur Anwendung von Titel I Teile 2 und 3 bei homöopathischen Arzneimitteln, wie in Artikel 1 Absatz 8 definiert, ausgeführt.</w:t>
      </w:r>
    </w:p>
    <w:p>
      <w:pPr>
        <w:pStyle w:val="Heading1"/>
      </w:pPr>
      <w:r>
        <w:t>ANHANG II (Fortsetzung)</w:t>
      </w:r>
    </w:p>
    <w:p>
      <w:pPr>
        <w:pStyle w:val="Heading2"/>
      </w:pPr>
      <w:r>
        <w:t>TEIL 2</w:t>
      </w:r>
    </w:p>
    <w:p>
      <w:r>
        <w:t>Die Bestimmungen von Teil 2 gelten für die Unterlagen, die gemäß Artikel 18 für die vereinfachte Registrierung von in Artikel 17 Absatz 1 genannten homöopathischen Tierarzneimitteln sowie für die Genehmigung weiterer in Artikel 19 Absatz 1 genannter homöopathischer Tierarzneimittel eingereicht wurden, mit den nachstehend aufgeführten Änderungen.</w:t>
      </w:r>
    </w:p>
    <w:p>
      <w:pPr>
        <w:pStyle w:val="Heading1"/>
      </w:pPr>
      <w:r>
        <w:t>ANHANG II (Fortsetzung)</w:t>
      </w:r>
    </w:p>
    <w:p>
      <w:pPr>
        <w:pStyle w:val="Heading2"/>
      </w:pPr>
      <w:r>
        <w:t>a) Terminologie</w:t>
      </w:r>
    </w:p>
    <w:p>
      <w:r>
        <w:t>Die lateinische Bezeichnung der im Antragsdossier beschriebenen homöopathischen Ursubstanz muss mit der lateinischen Bezeichnung des Europäischen Arzneibuchs oder — sollte diese darin fehlen — eines amtlichen Arzneibuchs eines Mitgliedstaats übereinstimmen. Gegebenenfalls ist anzugeben, welche traditionellen Benennungen in den einzelnen Mitgliedstaaten verwendet werden.</w:t>
      </w:r>
    </w:p>
    <w:p>
      <w:pPr>
        <w:pStyle w:val="Heading1"/>
      </w:pPr>
      <w:r>
        <w:t>ANHANG II (Fortsetzung)</w:t>
      </w:r>
    </w:p>
    <w:p>
      <w:pPr>
        <w:pStyle w:val="Heading2"/>
      </w:pPr>
      <w:r>
        <w:t>b) Kontrolle der Ausgangsstoffe</w:t>
      </w:r>
    </w:p>
    <w:p>
      <w:r>
        <w:t>Die dem Antrag beigefügten Angaben und Unterlagen zu den Ausgangsstoffen, d. h. zu allen verwendeten Stoffen, einschließlich der Rohstoffe und Zwischenprodukte bis hin zur endgültigen Verdünnung, die in dem homöopathischen Fertigtierarzneimittel verarbeitet werden sollen, sind durch zusätzliche Daten zur homöopathischen Ursubstanz zu ergänzen.</w:t>
      </w:r>
    </w:p>
    <w:p>
      <w:r>
        <w:t>Die allgemeinen Qualitätsanforderungen gelten für sämtliche Ausgangs- und Rohstoffe sowie für alle Zwischenschritte des Herstellungsprozesses bis hin zur endgültigen Verdünnung, die in dem homöopathischen Fertigarzneimittel verarbeitet werden sollen. Falls ein toxischer Bestandteil enthalten ist, sollte dieser möglichst in der endgültigen Verdünnung kontrolliert werden. Ist dies aufgrund des hohen Verdünnungsgrades jedoch nicht möglich, ist dieser toxische Bestandteil üblicherweise in einem früheren Stadium zu kontrollieren. Jeder Herstellungsschritt von den Ausgangsstoffen bis hin zur endgültigen Verdünnung, die in dem Fertigerzeugnis verarbeitet werden sollen, ist vollständig zu beschreiben.</w:t>
      </w:r>
    </w:p>
    <w:p>
      <w:r>
        <w:t>Im Fall von Verdünnungen sollten die Verdünnungsschritte in Übereinstimmung mit den homöopathischen Herstellungsverfahren erfolgen, die in der einschlägigen Monographie des Europäischen Arzneibuchs oder, falls dort nicht vorhanden, in einem offiziellen Arzneibuch eines Mitgliedstaats festgelegt sind.</w:t>
      </w:r>
    </w:p>
    <w:p>
      <w:pPr>
        <w:pStyle w:val="Heading1"/>
      </w:pPr>
      <w:r>
        <w:t>ANHANG II (Fortsetzung)</w:t>
      </w:r>
    </w:p>
    <w:p>
      <w:pPr>
        <w:pStyle w:val="Heading2"/>
      </w:pPr>
      <w:r>
        <w:t>c) Kontrollprüfungen des Fertigarzneimittels</w:t>
      </w:r>
    </w:p>
    <w:p>
      <w:r>
        <w:t>Die allgemeinen Qualitätsanforderungen gelten für das fertige homöopathische Tierarzneimittel. Jede Ausnahme ist vom Antragsteller hinreichend zu begründen.</w:t>
      </w:r>
    </w:p>
    <w:p>
      <w:r>
        <w:t>Die Identität und der Gehalt aller toxikologisch relevanten Bestandteile sind zu bestimmen. Lässt sich begründen, dass eine Identitäts-/Gehaltsbestimmung aller toxikologisch relevanten Bestandteile z. B. wegen ihrer Verdünnung im Fertigarzneimittel nicht möglich ist, so ist die Qualität durch eine vollständige Validierung des Herstellungs- und Verdünnungsprozesses nachzuweisen.</w:t>
      </w:r>
    </w:p>
    <w:p>
      <w:pPr>
        <w:pStyle w:val="Heading1"/>
      </w:pPr>
      <w:r>
        <w:t>ANHANG II (Fortsetzung)</w:t>
      </w:r>
    </w:p>
    <w:p>
      <w:pPr>
        <w:pStyle w:val="Heading2"/>
      </w:pPr>
      <w:r>
        <w:t>d) Haltbarkeitsversuche</w:t>
      </w:r>
    </w:p>
    <w:p>
      <w:r>
        <w:t>Die Haltbarkeit des Fertigarzneimittels ist nachzuweisen. Haltbarkeitsdaten der homöopathischen Ursubstanzen sind in der Regel auch auf daraus gewonnene Verdünnungen/Potenzierungen übertragbar. Ist aufgrund des Verdünnungsgrades keine Identitäts-/Gehaltsbestimmung möglich, dann können die Haltbarkeitsdaten der Darreichungsform berücksichtigt werden.</w:t>
      </w:r>
    </w:p>
    <w:p>
      <w:pPr>
        <w:pStyle w:val="Heading1"/>
      </w:pPr>
      <w:r>
        <w:t>ANHANG II (Fortsetzung)</w:t>
      </w:r>
    </w:p>
    <w:p>
      <w:pPr>
        <w:pStyle w:val="Heading2"/>
      </w:pPr>
      <w:r>
        <w:t>TEIL 3</w:t>
      </w:r>
    </w:p>
    <w:p>
      <w:r>
        <w:t>Unbeschadet der Bestimmungen der Verordnung (EWG) Nr. 2377/90 für in den homöopathischen Ursubstanzen enthaltene Stoffe, die zur Verabreichung an zur Nahrungsmittelerzeugung genutzte Tiere bestimmt sind, gelten die Vorschriften von Teil 3 für das vereinfachte Registrierungsverfahren für homöopathische Tierarzneimittel gemäß Artikel 17 Absatz 1 dieser Richtlinie mit folgender Spezifikation.</w:t>
      </w:r>
    </w:p>
    <w:p>
      <w:r>
        <w:t>Jegliches Fehlen von Informationen ist zu begründen; z. B. ist darzulegen, warum ein annehmbarer Unbedenklichkeitsgrad begründet werden kann, obwohl manche Untersuchungen fehlen.</w:t>
      </w:r>
    </w:p>
    <w:p>
      <w:pPr>
        <w:pStyle w:val="Heading1"/>
      </w:pPr>
      <w:r>
        <w:t>ANHANG III</w:t>
      </w:r>
    </w:p>
    <w:p>
      <w:pPr>
        <w:pStyle w:val="Heading2"/>
      </w:pPr>
      <w:r>
        <w:t>VERZEICHNIS DER VERPFLICHTUNGEN GEMÄß ARTIKEL 136 ABSATZ 1</w:t>
      </w:r>
    </w:p>
    <w:p>
      <w:r>
        <w:t>(1) Verpflichtung, als Antragsteller angemessene Informationen und Unterlagen gemäß Artikel 6 Absatz 4 vorzulegen;</w:t>
      </w:r>
    </w:p>
    <w:p>
      <w:r>
        <w:t>(2) Verpflichtung, in einem gemäß Artikel 62 übermittelten Antrag die in Absatz 2 Buchstabe b dieses Artikels genannten Daten vorzulegen;</w:t>
      </w:r>
    </w:p>
    <w:p>
      <w:r>
        <w:t>(3) Verpflichtung, die Anforderungen gemäß Artikel 23 und Artikel 25 zu erfüllen;</w:t>
      </w:r>
    </w:p>
    <w:p>
      <w:r>
        <w:t>(4) Verpflichtung, die Bedingungen der Zulassung des Tierarzneimittels gemäß Artikel 36 Absatz 1 einzuhalten;</w:t>
      </w:r>
    </w:p>
    <w:p>
      <w:r>
        <w:t>(5) Verpflichtung, gemäß Artikel 58 Absatz 3 etwaige Änderungen der Zulassungsbedingungen vorzunehmen, die erforderlich sind, um den Stand der Technik und den Fortschritt der Wissenschaft zu berücksichtigen und die Herstellung und Kontrolle des Tierarzneimittels nach allgemein anerkannten wissenschaftlichen Methoden sicherzustellen;</w:t>
      </w:r>
    </w:p>
    <w:p>
      <w:r>
        <w:t>(6) Verpflichtung, die Fachinformation, die Packungsbeilage und die Kennzeichnung gemäß Artikel 58 Absatz 4 auf dem aktuellen wissenschaftlichen Kenntnisstand zu halten;</w:t>
      </w:r>
    </w:p>
    <w:p>
      <w:r>
        <w:t>(7) Verpflichtung, in der Produktdatenbank die Daten, an denen seine zugelassenen Tierarzneimittel in Verkehr gebracht werden und Informationen über die Verfügbarkeit der einzelnen Tierarzneimittel in jedem einschlägigen Mitgliedstaat sowie gegebenenfalls die Daten einer Aussetzung bzw. einer Anordnung des Ruhens oder eines Widerrufs der betroffenen Zulassungen und Daten zum Verkaufsvolumen des Arzneimittels gemäß Artikel 58 Absätze 6 und 11 zu erfassen;</w:t>
      </w:r>
    </w:p>
    <w:p>
      <w:r>
        <w:t>(8) Verpflichtung, gemäß Artikel 58 Absatz 9 auf Ersuchen einer zuständigen Behörde oder der Agentur bis zu der in dem Ersuchen angegebenen Frist Daten vorzulegen, aus denen hervorgeht, dass das Nutzen-Risiko-Verhältnis weiterhin positiv ist;</w:t>
      </w:r>
    </w:p>
    <w:p>
      <w:r>
        <w:t>(9) Verpflichtung, gemäß Artikel 58 Absatz 10 alle neuen Informationen vorzulegen, die eine Änderung der Zulassungsbedingungen nach sich ziehen könnten, alle Verbote oder Beschränkungen durch die zuständigen Behörden jedes Landes bekannt zu geben, in dem das Tierarzneimittel in Verkehr gebracht wird, oder sämtliche Informationen vorzulegen, die die Beurteilung der Risiken und des Nutzens des betreffenden Arzneimittels beeinflussen könnten;</w:t>
      </w:r>
    </w:p>
    <w:p>
      <w:r>
        <w:t>(10) Verpflichtung, das Tierarzneimittel gemäß dem Inhalt der Fachinformation sowie der Etikettierung und Packungsbeilage, die in der Zulassung angeführt sind, in Verkehr zu bringen;</w:t>
      </w:r>
    </w:p>
    <w:p>
      <w:r>
        <w:t>(11) Verpflichtung, gemäß Artikel 76 Absatz 2 alle mutmaßlich unerwünschten Ereignisse für ihre Tierarzneimittel zu erfassen;</w:t>
      </w:r>
    </w:p>
    <w:p>
      <w:r>
        <w:t>(12) Verpflichtung, zusätzlich zu den in Artikel 73 Absatz 2 aufgeführten Daten bestimmte Pharmakovigilanz-Daten zu erheben und gemäß Artikel 76 Absatz 3 Überwachungsstudien nach dem Inverkehrbringen durchzuführen;</w:t>
      </w:r>
    </w:p>
    <w:p>
      <w:r>
        <w:t>(13) Verpflichtung, gemäß Artikel 77 Absatz 11 zu gewährleisten, dass öffentliche Mitteilungen betreffend Informationen über Pharmakovigilanz-Bedenken in objektiver und nicht irreführender Weise verfasst sind, und die Agentur über diese Mitteilungen in Kenntnis zu setzen;</w:t>
      </w:r>
    </w:p>
    <w:p>
      <w:r>
        <w:t>(14) Verpflichtung, gemäß Artikel 77 ein Pharmakovigilanz-System für die Wahrnehmung von Pharmakovigilanz-Aufgaben, etwa die Pflege einer Pharmakovigilanz- Stammdokumentation, zu betreiben;</w:t>
      </w:r>
    </w:p>
    <w:p>
      <w:r>
        <w:t>(15) Verpflichtung, gemäß Artikel 79 Absatz 6 auf Ersuchen der Agentur eine Kopie der Pharmakovigilanz-Stammdokumentation vorzulegen;</w:t>
      </w:r>
    </w:p>
    <w:p>
      <w:r>
        <w:t>(16) Verpflichtung, den Signalmanagementprozess durchzuführen und die Ergebnisse dieses Verfahrens gemäß Artikel 81 Absätze 1 und 2 durchzuführen;</w:t>
      </w:r>
    </w:p>
    <w:p>
      <w:r>
        <w:t>(17) Verpflichtung, der Agentur gemäß Artikel 82 Absatz 3 sämtliche zu der Befassung im Interesse der Union verfügbaren Informationen zu übermitteln.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Tierarzneimittel Verordnung (EU) 2019-6 (11 von 12) Anhang II-III 8. Rückstandsversuche, 9. Wechselwirkungen</dc:title>
  <dc:subject>Amtsblatt der EU, CELEX 32019R0006, https://eur-lex.europa.eu/legal-content/DE/TXT/?uri=CELEX:32019R0006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