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(6 von 12) Kap V-VII HOMÖOPATHISCHE TIERARZNEIMITTEL, HERSTELLUNG</w:t>
      </w:r>
    </w:p>
    <w:p>
      <w:r>
        <w:t>Quelle: Amtsblatt der EU, CELEX 32019R0006, https://eur-lex.europa.eu/legal-content/DE/TXT/?uri=CELEX:32019R0006</w:t>
      </w:r>
    </w:p>
    <w:p>
      <w:pPr>
        <w:pStyle w:val="Heading1"/>
      </w:pPr>
      <w:r>
        <w:t>KAPITEL V HOMÖOPATHISCHE TIERARZNEIMITTEL</w:t>
      </w:r>
    </w:p>
    <w:p>
      <w:pPr>
        <w:pStyle w:val="Heading2"/>
      </w:pPr>
      <w:r>
        <w:t>Artikel 85 Homöopathische Tierarzneimittel</w:t>
      </w:r>
    </w:p>
    <w:p>
      <w:r>
        <w:t>(1) Homöopathische Tierarzneimittel, die die Voraussetzungen nach Artikel 86 erfüllen, werden gemäß Artikel 87 registriert.</w:t>
      </w:r>
    </w:p>
    <w:p>
      <w:r>
        <w:t>(2) Für homöopathische Tierarzneimittel, die die Voraussetzungen nach Artikel 86 nicht erfüllen, gilt Artikel 5.</w:t>
      </w:r>
    </w:p>
    <w:p>
      <w:pPr>
        <w:pStyle w:val="Heading2"/>
      </w:pPr>
      <w:r>
        <w:t>Artikel 86 Registrierung homöopathischer Tierarzneimittel</w:t>
      </w:r>
    </w:p>
    <w:p>
      <w:r>
        <w:t>(1) Registriert wird ein homöopathisches Tierarzneimittel, das alle nachstehend aufgeführten Voraussetzungen erfüllt:</w:t>
      </w:r>
    </w:p>
    <w:p>
      <w:r>
        <w:t>a) Es wird auf dem Weg verabreicht, der im Europäischen Arzneibuch oder, falls dort nicht enthalten, in den amtlichen Arzneibüchern der Mitgliedstaaten beschrieben ist.</w:t>
      </w:r>
    </w:p>
    <w:p>
      <w:r>
        <w:t>b) Es weist einen ausreichenden Verdünnungsgrad auf, um seine Unbedenklichkeit zu garantieren, und enthält nicht mehr als einen Teil der Urtinktur pro 10 000 Teilen.</w:t>
      </w:r>
    </w:p>
    <w:p>
      <w:r>
        <w:t>c) In der Kennzeichnung oder in den Informationen zu dem Arzneimittel erscheint kein therapeutisches Anwendungsgebiet.</w:t>
      </w:r>
    </w:p>
    <w:p>
      <w:r>
        <w:t>(2) Die Mitgliedstaaten können zusätzlich zu den hier beschriebenen weitere Verfahren für die Registrierung homöopathischer Tierarzneimittel festlegen.</w:t>
      </w:r>
    </w:p>
    <w:p>
      <w:pPr>
        <w:pStyle w:val="Heading2"/>
      </w:pPr>
      <w:r>
        <w:t>Artikel 87 Antrag und Verfahren der Registrierung homöopathischer Tierarzneimittel</w:t>
      </w:r>
    </w:p>
    <w:p>
      <w:r>
        <w:t>(1) Mit dem Antrag auf Registrierung eines homöopathischen Tierarzneimittels sind folgende Unterlagen vorzulegen:</w:t>
      </w:r>
    </w:p>
    <w:p>
      <w:r>
        <w:t>a) wissenschaftliche oder sonstige in einem Arzneibuch enthaltene Bezeichnung der homöopathischen Ursubstanz(en) mit den zu registrierenden Angaben, nämlich dem Verabreichungsweg, der Darreichungsform und den Verdünnungen,</w:t>
      </w:r>
    </w:p>
    <w:p>
      <w:r>
        <w:t>b) ein Dossier, in dem die Gewinnung und die Kontrolle der Ursubstanz(en) beschrieben und deren homöopathische Anwendung anhand einer entsprechenden Literatur belegt wird; bei homöopathischen Tierarzneimitteln, die biologische Stoffe enthalten, eine Beschreibung der Maßnahmen, die getroffen wurden, um ihre Freiheit von Krankheitserregern zu gewährleisten,</w:t>
      </w:r>
    </w:p>
    <w:p>
      <w:r>
        <w:t>c) Unterlagen zur Herstellung und Kontrolle für jede Darreichungsform und Beschreibung der Verdünnungs- und Potenzierungsmethode,</w:t>
      </w:r>
    </w:p>
    <w:p>
      <w:r>
        <w:t>d) Herstellungserlaubnis für die betreffenden homöopathischen Tierarzneimittel,</w:t>
      </w:r>
    </w:p>
    <w:p>
      <w:r>
        <w:t>e) Kopie der möglicherweise in anderen Mitgliedstaaten für dieselben homöopathischen Tierarzneimittel erhaltenen Registrierungen,</w:t>
      </w:r>
    </w:p>
    <w:p>
      <w:r>
        <w:t>f) der Text, der in der Packungsbeilage sowie auf der äußeren Verpackung und der Primärverpackung der zu registrierenden homöopathischen Arzneimittel erscheinen soll,</w:t>
      </w:r>
    </w:p>
    <w:p>
      <w:r>
        <w:t>g) Angaben zur Haltbarkeit des homöopathischen Tierarzneimittels,</w:t>
      </w:r>
    </w:p>
    <w:p>
      <w:r>
        <w:t>h) bei den Wirkstoffen homöopathischer Tierarzneimittel für der Lebensmittelgewinnung dienende Tierarten muss es sich um — nach der Verordnung (EG) Nr. 470/2009 und etwaigen auf deren Grundlage erlassenen Vorschriften — zulässige pharmakologisch wirksame Stoffe handeln.</w:t>
      </w:r>
    </w:p>
    <w:p>
      <w:r>
        <w:t>(2) Der Antrag auf Registrierung kann sich auf eine Serie von homöopathischen Tierarzneimitteln derselben Darreichungsform erstrecken, die aus der- bzw. denselben homöopathischen Ursubstanz(en) gewonnen worden sind.</w:t>
      </w:r>
    </w:p>
    <w:p>
      <w:r>
        <w:t>(3) Die zuständige Behörde kann die Bedingungen bestimmen, unter denen das registrierte homöopathische Tierarzneimittel bereitgestellt werden kann.</w:t>
      </w:r>
    </w:p>
    <w:p>
      <w:r>
        <w:t>(4) Das Verfahren für die Registrierung eines homöopathischen Tierarzneimittels muss spätestens 90 Tage nach der Einreichung eines gültigen Antrags abgeschlossen sein.</w:t>
      </w:r>
    </w:p>
    <w:p>
      <w:r>
        <w:t>(5) Der Inhaber einer Registrierung eines homöopathischen Tierarzneimittels hat vorbehaltlich des Artikels 2 Absatz 5 dieselben Pflichten wie ein Zulassungsinhaber.</w:t>
      </w:r>
    </w:p>
    <w:p>
      <w:r>
        <w:t>(6) Die Registrierung für ein homöopathisches Tierarzneimittel darf nur in der Union niedergelassenen Antragstellern erteilt werden. Die Pflicht, in der Union niedergelassen zu sein, gilt auch für die Inhaber einer Registrierung.</w:t>
      </w:r>
    </w:p>
    <w:p>
      <w:pPr>
        <w:pStyle w:val="Heading1"/>
      </w:pPr>
      <w:r>
        <w:t>KAPITEL VI HERSTELLUNG, EINFUHR UND AUSFUHR</w:t>
      </w:r>
    </w:p>
    <w:p>
      <w:pPr>
        <w:pStyle w:val="Heading2"/>
      </w:pPr>
      <w:r>
        <w:t>Artikel 88 Herstellungserlaubnis</w:t>
      </w:r>
    </w:p>
    <w:p>
      <w:r>
        <w:t>(1) Für jede einzelne der folgenden Tätigkeiten ist eine Herstellungserlaubnis erforderlich:</w:t>
      </w:r>
    </w:p>
    <w:p>
      <w:r>
        <w:t>a) Herstellung von Tierarzneimitteln, auch wenn diese ausschließlich für die Ausfuhr bestimmt sind,</w:t>
      </w:r>
    </w:p>
    <w:p>
      <w:r>
        <w:t>b) Beteiligung an einer Phase des Prozesses der Herstellung oder der Endbearbeitung eines Tierarzneimittels, auch Beteiligung an der Verarbeitung, Zusammenfügung, Verpackung und Neuverpackung, Kennzeichnung und Neukennzeichnung, Lagerung, Sterilisierung, Untersuchung oder Freigabe des Arzneimittels zum Vertrieb als Teil dieses Prozesses, oder</w:t>
      </w:r>
    </w:p>
    <w:p>
      <w:r>
        <w:t>c) Einfuhr von Tierarzneimitteln.</w:t>
      </w:r>
    </w:p>
    <w:p>
      <w:r>
        <w:t>(2) Ungeachtet des Absatzes 1 des vorliegenden Artikels können die Mitgliedstaaten beschließen, dass für die Zubereitung, die Aufteilung oder die Änderung der Verpackung oder Darbietung von Tierarzneimitteln keine Herstellungserlaubnis erforderlich ist, sofern diese Vorgänge gemäß den Artikeln 103 und 104 ausschließlich für den Einzelhandel direkt an die Öffentlichkeit vorgenommen werden.</w:t>
      </w:r>
    </w:p>
    <w:p>
      <w:r>
        <w:t>(3) Wenn Absatz 2 Anwendung findet, müssen für jede abgeteilte Menge die Packungsbeilage beigelegt und die Chargenbezeichnung sowie das Verfallsdatum klar angegeben werden.</w:t>
      </w:r>
    </w:p>
    <w:p>
      <w:r>
        <w:t>(4) Die zuständigen Behörden nehmen eine von ihnen erteilte Herstellungserlaubnis in die gemäß Artikel 91 eingerichtete Herstellungs- und Großhandelsvertriebsdatenbank auf.</w:t>
      </w:r>
    </w:p>
    <w:p>
      <w:r>
        <w:t>(5) Eine Herstellungserlaubnis ist in der gesamten Union gültig.</w:t>
      </w:r>
    </w:p>
    <w:p>
      <w:pPr>
        <w:pStyle w:val="Heading2"/>
      </w:pPr>
      <w:r>
        <w:t>Artikel 89 Beantragung einer Herstellungserlaubnis</w:t>
      </w:r>
    </w:p>
    <w:p>
      <w:r>
        <w:t>(1) Ein Antrag auf Erteilung einer Herstellungserlaubnis ist an eine zuständige Behörde in dem Mitgliedstaat zu richten, in dem sich die Produktionsstätte befindet.</w:t>
      </w:r>
    </w:p>
    <w:p>
      <w:r>
        <w:t>(2) Der Antrag auf Erteilung einer Herstellungserlaubnis muss mindestens die folgenden Angaben enthalten:</w:t>
      </w:r>
    </w:p>
    <w:p>
      <w:r>
        <w:t>a) Tierarzneimittel, die hergestellt oder eingeführt werden sollen,</w:t>
      </w:r>
    </w:p>
    <w:p>
      <w:r>
        <w:t>b) Name oder Firma und ständige Anschrift oder eingetragene Niederlassung des Antragstellers,</w:t>
      </w:r>
    </w:p>
    <w:p>
      <w:r>
        <w:t>c) Darreichungsformen, die hergestellt oder eingeführt werden sollen,</w:t>
      </w:r>
    </w:p>
    <w:p>
      <w:r>
        <w:t>d) Angaben zu der Produktionsstätte, in der die Tierarzneimittel hergestellt oder eingeführt werden sollen,</w:t>
      </w:r>
    </w:p>
    <w:p>
      <w:r>
        <w:t>e) Erklärung, dass der Antragsteller die Anforderungen gemäß den Artikeln 93 und 97 erfüllt.</w:t>
      </w:r>
    </w:p>
    <w:p>
      <w:pPr>
        <w:pStyle w:val="Heading2"/>
      </w:pPr>
      <w:r>
        <w:t>Artikel 90 Verfahren der Erteilung der Herstellungserlaubnis</w:t>
      </w:r>
    </w:p>
    <w:p>
      <w:r>
        <w:t>(1) Vor Erteilung einer Herstellungserlaubnis inspiziert die zuständige Behörde die Produktionsstätte.</w:t>
      </w:r>
    </w:p>
    <w:p>
      <w:r>
        <w:t>(2) Die zuständige Behörde kann den Antragsteller auffordern, zusätzliche Informationen zu den gemäß Artikel 89 vorgelegten Informationen zu übermitteln. Macht die zuständige Behörde von dieser Möglichkeit Gebrauch, so werden die in Absatz 4 des vorliegenden Artikels vorgesehenen Fristen ausgesetzt oder für ungültig erklärt, bis der Antragsteller die verlangten ergänzenden Angaben vorgelegt hat.</w:t>
      </w:r>
    </w:p>
    <w:p>
      <w:r>
        <w:t>(3) Eine Herstellungserlaubnis gilt nur für die im Antrag nach Artikel 89 angegebene Produktionsstätte und die in diesem Antrag genannten Darreichungsformen.</w:t>
      </w:r>
    </w:p>
    <w:p>
      <w:r>
        <w:t>(4) Die Mitgliedstaaten legen die Verfahren für die Erteilung oder Verweigerung einer Herstellungserlaubnis fest. Diese Verfahren dürfen nicht länger als 90 Tage ab dem Eingang des Antrags auf eine Herstellungserlaubnis bei der zuständigen Behörde dauern.</w:t>
      </w:r>
    </w:p>
    <w:p>
      <w:r>
        <w:t>(5) Eine Herstellungserlaubnis kann unter dem Vorbehalt erteilt werden, dass der Antragsteller innerhalb einer bestimmten Frist Maßnahmen ergreift oder bestimmte Verfahren einführt. Wurde eine Herstellungserlaubnis unter Vorbehalt erteilt, ist sie auszusetzen oder zu widerrufen, wenn diese Bedingungen nicht erfüllt werden.</w:t>
      </w:r>
    </w:p>
    <w:p>
      <w:pPr>
        <w:pStyle w:val="Heading2"/>
      </w:pPr>
      <w:r>
        <w:t>Artikel 91 Herstellungs- und Großhandelsvertriebsdatenbank</w:t>
      </w:r>
    </w:p>
    <w:p>
      <w:r>
        <w:t>(1) Die Agentur richtet eine Datenbank der Union für Herstellung, Einfuhr und Großhandelsvertrieb (im Folgenden „Herstellungs- und Großhandelsvertriebsdatenbank“) ein und pflegt diese.</w:t>
      </w:r>
    </w:p>
    <w:p>
      <w:r>
        <w:t>(2) Die Herstellungs- und Großhandelsvertriebsdatenbank enthält Angaben zu der Erteilung, der Aussetzung oder dem Ruhen oder dem Widerruf sämtlicher Erlaubnisse für die Herstellung und den Großhandelsvertrieb durch die zuständigen Behörden sowie zu den Zertifikaten über die gute Herstellungspraxis und Registrierungen von Herstellern, Importeuren und Händlern von Wirkstoffen.</w:t>
      </w:r>
    </w:p>
    <w:p>
      <w:r>
        <w:t>(3) Die zuständigen Behörden speichern in der Herstellungs- und Großhandelsvertriebsdatenbank Informationen über die gemäß den Artikeln 90, 94 und 100 ausgestellten Erlaubnisse für die Herstellung und den Großhandelsvertrieb und Zertifikate, zusammen mit Informationen über die gemäß Artikel 95 registrierten Importeure, Hersteller und Händler von Wirkstoffen.</w:t>
      </w:r>
    </w:p>
    <w:p>
      <w:r>
        <w:t>(4) Die Agentur arbeitet gemeinsam mit den Mitgliedstaaten und der Kommission funktionale Leistungsbeschreibungen, einschließlich des Formats für die elektronische Datenübermittlung, für die Herstellungs- und Großhandelsvertriebsdatenbank aus.</w:t>
      </w:r>
    </w:p>
    <w:p>
      <w:r>
        <w:t>(5) Die Agentur sorgt dafür, dass die an die Herstellungs- und Großhandelsvertriebsdatenbank übermittelten Informationen so zusammengestellt werden, dass sie zugänglich sind, und dass die Informationen gemeinsam genutzt werden.</w:t>
      </w:r>
    </w:p>
    <w:p>
      <w:r>
        <w:t>(6) Die zuständigen Behörden haben uneingeschränkten Zugang zu der Herstellungs- und Großhandelsvertriebsdatenbank.</w:t>
      </w:r>
    </w:p>
    <w:p>
      <w:r>
        <w:t>(7) Die Öffentlichkeit erhält Zugang zu den Informationen in der Herstellungs- und Großhandelsvertriebsdatenbank, kann jedoch keine Änderungen daran vornehmen.</w:t>
      </w:r>
    </w:p>
    <w:p>
      <w:pPr>
        <w:pStyle w:val="Heading2"/>
      </w:pPr>
      <w:r>
        <w:t>Artikel 92 Anträge auf Änderung einer Herstellungserlaubnis</w:t>
      </w:r>
    </w:p>
    <w:p>
      <w:r>
        <w:t>(1) Beantragt ein Inhaber einer Herstellungserlaubnis eine Änderung dieser Herstellungserlaubnis, muss das Verfahren zur Prüfung des Antrags spätestens 30 Tage nach dessen Eintreffen bei der zuständigen Behörde abgeschlossen sein. Diese Frist kann in begründeten Fällen — beispielsweise, wenn eine Inspektion erforderlich ist — von der zuständigen Behörde auf 90 Tage verlängert werden.</w:t>
      </w:r>
    </w:p>
    <w:p>
      <w:r>
        <w:t>(2) Der Antrag gemäß Absatz 1 enthält eine Beschreibung der gewünschten Änderung.</w:t>
      </w:r>
    </w:p>
    <w:p>
      <w:r>
        <w:t>(3) Innerhalb der in Absatz 1 genannten Frist kann die zuständige Behörde vom Inhaber der Herstellungserlaubnis verlangen, dass er innerhalb einer bestimmten Frist zusätzliche Informationen bereitstellt, und beschließen, eine Inspektion vorzunehmen. Das Verfahren wird so lange ausgesetzt, bis diese zusätzlichen Informationen vorgelegt wurden.</w:t>
      </w:r>
    </w:p>
    <w:p>
      <w:r>
        <w:t>(4) Die zuständige Behörde prüft den in Absatz I genannten Antrag, teilt dem Inhaber der Herstellungserlaubnis das Ergebnis der Bewertung mit, ändert gegebenenfalls die Herstellungserlaubnis und aktualisiert gegebenenfalls die Herstellungs- und Großhandelsvertriebsdatenbank.</w:t>
      </w:r>
    </w:p>
    <w:p>
      <w:pPr>
        <w:pStyle w:val="Heading2"/>
      </w:pPr>
      <w:r>
        <w:t>Artikel 93 Pflichten des Inhabers einer Herstellungserlaubnis</w:t>
      </w:r>
    </w:p>
    <w:p>
      <w:r>
        <w:t>(1) Der Inhaber einer Herstellungserlaubnis</w:t>
      </w:r>
    </w:p>
    <w:p>
      <w:r>
        <w:t>a) verfügt über geeignete und ausreichende Betriebsräume, technische Ausrüstungen und Untersuchungseinrichtungen für die in der Herstellungserlaubnis genannten Tätigkeiten,</w:t>
      </w:r>
    </w:p>
    <w:p>
      <w:r>
        <w:t>b) verfügt über mindestens eine sachkundige Person gemäß Artikel 97 und trägt dafür Sorge, dass die sachkundige Person die Bestimmungen jenes Artikels beachtet,</w:t>
      </w:r>
    </w:p>
    <w:p>
      <w:r>
        <w:t>c) ermöglicht der in Artikel 97 genannten sachkundigen Person die Erfüllung ihrer Aufgaben, gewährt ihr insbesondere Zugang zu allen erforderlichen Unterlagen und Betriebsräumen und stellt ihr alle erforderlichen technischen Ausrüstungen und Prüfeinrichtungen zur Verfügung,</w:t>
      </w:r>
    </w:p>
    <w:p>
      <w:r>
        <w:t>d) teilt der zuständigen Behörde eine Ersetzung der in Artikel 97 genannten sachkundigen Person mindestens 30 Tage im Voraus oder — sollte das nicht möglich sein, weil die Ersetzung unerwartet kommt — umgehend mit,</w:t>
      </w:r>
    </w:p>
    <w:p>
      <w:r>
        <w:t>e) verfügt über das Personal, das den in dem betreffenden Mitgliedstaat bestehenden gesetzlichen Erfordernissen an Herstellung und Kontrollen entspricht,</w:t>
      </w:r>
    </w:p>
    <w:p>
      <w:r>
        <w:t>f) macht die Betriebsräume jederzeit den Beauftragten der zuständigen Behörde zugänglich,</w:t>
      </w:r>
    </w:p>
    <w:p>
      <w:r>
        <w:t>g) führt gemäß Artikel 96 genau über sämtliche Tierarzneimittel, die der Inhaber einer Herstellungserlaubnis liefert, Buch und bewahrt Proben einer jeden Charge auf,</w:t>
      </w:r>
    </w:p>
    <w:p>
      <w:r>
        <w:t>h) liefert Tierarzneimittel nur an Großhändler für Tierarzneimittel,</w:t>
      </w:r>
    </w:p>
    <w:p>
      <w:r>
        <w:t>i) unterrichtet die zuständige Behörde und den Zulassungsinhaber sofort, wenn der Inhaber einer Herstellungserlaubnis Kenntnis davon erhält, dass Tierarzneimittel, für die seine Herstellungserlaubnis gilt, tatsächlich oder mutmaßlich gefälscht sind, unabhängig davon, ob diese Tierarzneimittel über die legale Lieferkette oder illegal, auch durch illegalen Verkauf über die Dienste der Informationsgesellschaft, vertrieben wurden,</w:t>
      </w:r>
    </w:p>
    <w:p>
      <w:r>
        <w:t>j) hält sich an die gute Herstellungspraxis für Tierarzneimittel und verwendet als Ausgangsstoffe nur Wirkstoffe, die gemäß der guten Herstellungspraxis hergestellt und gemäß der guten Vertriebspraxis für Wirkstoffe vertrieben wurden,</w:t>
      </w:r>
    </w:p>
    <w:p>
      <w:r>
        <w:t>k) überprüft, dass jeder Hersteller, jeder Händler und jeder Importeur innerhalb der Union, von dem der Inhaber einer Herstellungserlaubnis Wirkstoffe bezieht, gemäß Artikel 95 bei der zuständigen Behörde des Mitgliedstaats registriert ist, in dem der Hersteller, der Händler bzw. der Importeur niedergelassen ist,</w:t>
      </w:r>
    </w:p>
    <w:p>
      <w:r>
        <w:t>l) führt Prüfungen auf der Grundlage einer Risikobewertung der Hersteller, Händler oder Importeure durch, von denen der Inhaber einer Herstellungserlaubnis Wirkstoffe bezieht.</w:t>
      </w:r>
    </w:p>
    <w:p>
      <w:r>
        <w:t>(2) Die Kommission erlässt im Wege von Durchführungsrechtsakten Vorschriften für die unter Absatz 1 Buchstabe j des vorliegenden Artikels genannte gute Herstellungspraxis für Tierarzneimittel und für Wirkstoffe, die als Ausgangsstoffe dienen. Diese Durchführungsrechtsakte werden nach dem in Artikel 145 Absatz 2 genannten Prüfverfahren erlassen.</w:t>
      </w:r>
    </w:p>
    <w:p>
      <w:pPr>
        <w:pStyle w:val="Heading2"/>
      </w:pPr>
      <w:r>
        <w:t>Artikel 94 Zertifikate über die gute Herstellungspraxis</w:t>
      </w:r>
    </w:p>
    <w:p>
      <w:r>
        <w:t>(1) Spätestens 90 Tage nach der Inspektion stellt die zuständige Behörde ein Zertifikat über die gute Herstellungspraxis für die jeweilige Produktionsstätte aus, wenn die Inspektion ergibt, dass der betreffende Hersteller die Anforderungen der vorliegenden Verordnung und des in Artikel 93 Absatz 2 genannten Durchführungsrechtsakts erfüllt.</w:t>
      </w:r>
    </w:p>
    <w:p>
      <w:r>
        <w:t>(2) Stellt sich bei der Inspektion nach Absatz 1 des vorliegenden Artikels heraus, dass sich der Hersteller nicht an die gute Herstellungspraxis hält, so wird diese Information in der Herstellungs- und Großhandelsvertriebsdatenbank gemäß Artikel 91 registriert.</w:t>
      </w:r>
    </w:p>
    <w:p>
      <w:r>
        <w:t>(3) Die sich aus der Inspektion bei einem Hersteller ergebenden Schlussfolgerungen sind in der gesamten Union gültig.</w:t>
      </w:r>
    </w:p>
    <w:p>
      <w:r>
        <w:t>(4) Unbeschadet etwaiger Abkommen zwischen der Union und einem Drittland kann eine zuständige Behörde, die Kommission oder die Agentur einen in einem Drittland niedergelassenen Hersteller auffordern, sich einer Inspektion nach Absatz 1 zu unterziehen.</w:t>
      </w:r>
    </w:p>
    <w:p>
      <w:r>
        <w:t>(5) Importeure von Tierarzneimitteln müssen sicherstellen, dass der in einem Drittland niedergelassene Hersteller ein von einer zuständigen Behörde ausgestelltes Zertifikat über die gute Herstellungspraxis — oder eine gleichwertige Bestätigung, falls das Drittland Vertragspartner eines zwischen der Union und dem Drittland geschlossenen Abkommens ist — besitzt, bevor diese Produkte in die Union eingeführt werden.</w:t>
      </w:r>
    </w:p>
    <w:p>
      <w:pPr>
        <w:pStyle w:val="Heading2"/>
      </w:pPr>
      <w:r>
        <w:t>Artikel 95 In der Union niedergelassene Importeure, Hersteller und Händler von Wirkstoffen</w:t>
      </w:r>
    </w:p>
    <w:p>
      <w:r>
        <w:t>(1) In der Union niedergelassene Importeure, Hersteller und Händler von Wirkstoffen, die als Ausgangsstoffe für Tierarzneimittel verwendet werden, müssen ihre Tätigkeit bei der zuständigen Behörde des Mitgliedstaats, in dem sie niedergelassen sind, registrieren und sich an die gute Herstellungspraxis bzw. an die gute Vertriebspraxis halten.</w:t>
      </w:r>
    </w:p>
    <w:p>
      <w:r>
        <w:t>(2) Das Formblatt für die Registrierung der Tätigkeit bei der zuständigen Behörde muss mindestens folgende Angaben enthalten:</w:t>
      </w:r>
    </w:p>
    <w:p>
      <w:r>
        <w:t>a) Name oder Firma und ständige Anschrift oder eingetragene Niederlassung,</w:t>
      </w:r>
    </w:p>
    <w:p>
      <w:r>
        <w:t>b) Wirkstoffe, die eingeführt, hergestellt oder vertrieben werden sollen,</w:t>
      </w:r>
    </w:p>
    <w:p>
      <w:r>
        <w:t>c) Angaben zu den Betriebsräumen und der technischen Ausrüstung.</w:t>
      </w:r>
    </w:p>
    <w:p>
      <w:r>
        <w:t>(3) Die in Absatz 1 genannten Importeure, Hersteller und Händler von Wirkstoffen reichen das Registrierungsformblatt spätestens 60 Tage vor der beabsichtigten Aufnahme ihrer Tätigkeit ein. Importeure, Hersteller und Händler von Wirkstoffen, die ihre Geschäftstätigkeit vor dem 28. Januar 2022 aufgenommen haben, reichen das Registrierungsformblatt spätestens bis 29. März 2022 bei der zuständigen Behörde ein.</w:t>
      </w:r>
    </w:p>
    <w:p>
      <w:r>
        <w:t>(4) Die zuständige Behörde kann aufgrund einer Risikobewertung entscheiden, eine Inspektion vorzunehmen. Kündigt die zuständige Behörde binnen 60 Tagen nach Eingang des Registrierungsformblatts eine Inspektion an, so darf die Tätigkeit nicht aufgenommen werden, bevor die zuständige Behörde die Erlaubnis dafür erteilt hat. In diesem Fall nimmt die zuständige Behörde die Inspektion vor und teilt den in Absatz 1 genannten Importeuren, Herstellern und Händlern von Wirkstoffen die Ergebnisse der Inspektion binnen 60 Tagen nach der Ankündigung der beabsichtigten Inspektion mit. Kündigt die zuständige Behörde binnen 60 Tagen nach Eingang des Registrierungsformblatts keine Inspektion an, so darf die Tätigkeit aufgenommen werden.</w:t>
      </w:r>
    </w:p>
    <w:p>
      <w:r>
        <w:t>(5) Die in Absatz 1 genannten Importeure, Hersteller und Händler von Wirkstoffen reichen bei der zuständigen Behörde jährlich die Änderungen der Angaben im Registrierungsformblatt ein. Änderungen, die sich auf die Qualität oder Unbedenklichkeit der hergestellten, eingeführten oder vertriebenen Wirkstoffe auswirken könnten, müssen sofort gemeldet werden.</w:t>
      </w:r>
    </w:p>
    <w:p>
      <w:r>
        <w:t>(6) Die zuständigen Behörden geben die gemäß Absatz 2 des vorliegenden Artikels und gemäß Artikel 132 gemachten Angaben in die in Artikel 91 genannte Herstellungs- und Großhandelsvertriebsdatenbank ein.</w:t>
      </w:r>
    </w:p>
    <w:p>
      <w:r>
        <w:t>(7) Dieser Artikel gilt unbeschadet des Artikels 94.</w:t>
      </w:r>
    </w:p>
    <w:p>
      <w:r>
        <w:t>(8) Die Kommission erlässt im Wege von Durchführungsrechtsakten Vorschriften für die gute Vertriebspraxis für Wirkstoffe, die als Ausgangsstoffe für Tierarzneimittel verwendet werden. Diese Durchführungsrechtsakte werden nach dem in Artikel 145 Absatz 2 genannten Prüfverfahren erlassen.</w:t>
      </w:r>
    </w:p>
    <w:p>
      <w:pPr>
        <w:pStyle w:val="Heading2"/>
      </w:pPr>
      <w:r>
        <w:t>Artikel 96 Buchführung</w:t>
      </w:r>
    </w:p>
    <w:p>
      <w:r>
        <w:t>(1) Der Inhaber einer Herstellungserlaubnis erfasst folgende Angaben für jedes Tierarzneimittel, das er liefert:</w:t>
      </w:r>
    </w:p>
    <w:p>
      <w:r>
        <w:t>a) Zeitpunkt der Transaktion,</w:t>
      </w:r>
    </w:p>
    <w:p>
      <w:r>
        <w:t>b) Bezeichnung des Tierarzneimittels und gegebenenfalls Zulassungsnummer, Darreichungsform und Stärke,</w:t>
      </w:r>
    </w:p>
    <w:p>
      <w:r>
        <w:t>c) gelieferte Menge,</w:t>
      </w:r>
    </w:p>
    <w:p>
      <w:r>
        <w:t>d) Name oder Firma und ständige Anschrift oder eingetragene Niederlassung des Empfängers,</w:t>
      </w:r>
    </w:p>
    <w:p>
      <w:r>
        <w:t>e) Chargenbezeichnung,</w:t>
      </w:r>
    </w:p>
    <w:p>
      <w:r>
        <w:t>f) Verfallsdatum.</w:t>
      </w:r>
    </w:p>
    <w:p>
      <w:r>
        <w:t>(2) Die Aufzeichnungen gemäß Absatz 1 sind den zuständigen Behörden ein Jahr lang nach dem Verfallsdatum der Charge oder mindestens fünf Jahre nach der Erfassung zur Kontrolle zur Verfügung zu halten, je nachdem, welcher Zeitraum länger ist.</w:t>
      </w:r>
    </w:p>
    <w:p>
      <w:pPr>
        <w:pStyle w:val="Heading2"/>
      </w:pPr>
      <w:r>
        <w:t>Artikel 97 Für die Herstellung und die Chargenfreigabe verantwortliche sachkundige Person</w:t>
      </w:r>
    </w:p>
    <w:p>
      <w:r>
        <w:t>(1) Der Inhaber einer Herstellungserlaubnis verfügt ständig über mindestens eine sachkundige Person, welche die in diesem Artikel genannten Voraussetzungen erfüllt und insbesondere für die in diesem Artikel genannten Tätigkeiten verantwortlich ist.</w:t>
      </w:r>
    </w:p>
    <w:p>
      <w:r>
        <w:t>(2) Die sachkundige Person gemäß Absatz 1 ist im Besitz eines Hochschulabschlusses in einem oder mehreren der folgenden wissenschaftlichen Fächer: Pharmazie, Humanmedizin, Veterinärmedizin, Chemie, pharmazeutische Chemie und Technologie oder Biologie.</w:t>
      </w:r>
    </w:p>
    <w:p>
      <w:r>
        <w:t>(3) Die sachkundige Person gemäß Absatz 1 muss eine mindestens zweijährige Tätigkeit in einem oder mehreren Unternehmen ausgeübt haben, denen eine Herstellungserlaubnis erteilt wurde, auf dem Gebiet der Qualitätssicherung von Arzneimitteln, der qualitativen Analyse von Arzneimitteln, der quantitativen Analyse von Wirkstoffen sowie der Versuche und Prüfungen, die zum Nachweis der Qualität von Tierarzneimitteln erforderlich sind.</w:t>
      </w:r>
    </w:p>
    <w:p>
      <w:r>
        <w:t>Die in Unterabsatz 1 vorgeschriebene Dauer der Tätigkeit kann um ein Jahr herabgesetzt werden, wenn der Studiengang mindestens fünf Jahre umfasst, und um eineinhalb Jahre, wenn der Studiengang mindestens sechs Jahre umfasst.</w:t>
      </w:r>
    </w:p>
    <w:p>
      <w:r>
        <w:t>(4) Ist der Inhaber der Herstellungserlaubnis eine natürliche Person, so kann er die Tätigkeiten gemäß Absatz 1 in eigener Verantwortung ausüben, wenn er die Voraussetzungen der Absätze 2 und 3 erfüllt.</w:t>
      </w:r>
    </w:p>
    <w:p>
      <w:r>
        <w:t>(5) Die zuständige Behörde kann geeignete administrative Abläufe festlegen, um zu überprüfen, ob die in Absatz 1 genannte sachkundige Person die Voraussetzungen der Absätze 2 und 3 erfüllt.</w:t>
      </w:r>
    </w:p>
    <w:p>
      <w:r>
        <w:t>(6) Die sachkundige Person gemäß Absatz 1 gewährleistet, dass jede Charge der Tierarzneimittel gemäß der guten Herstellungspraxis hergestellt und in Übereinstimmung mit den Bedingungen der Zulassung geprüft wird. Die sachkundige Person verfasst darüber einen Prüfbericht. Die Prüfberichte sind in der gesamten Union gültig.</w:t>
      </w:r>
    </w:p>
    <w:p>
      <w:r>
        <w:t>(7) Wenn Tierarzneimittel eingeführt werden, gewährleistet die sachkundige Person gemäß Absatz 1, dass bei jeder eingeführten Produktionscharge in der Union eine vollumfängliche qualitative und eine quantitative Analyse mindestens aller Wirkstoffe und alle anderen Prüfungen durchgeführt wurden, die für die Gewährleistung der Qualität der Tierarzneimittel gemäß den Anforderungen der Zulassung erforderlich sind, und dass die hergestellte Charge der guten Herstellungspraxis entspricht.</w:t>
      </w:r>
    </w:p>
    <w:p>
      <w:r>
        <w:t>(8) Die sachkundige Person gemäß Absatz 1 führt Buch über jede freigegebene Produktionscharge. Diese Aufzeichnungen werden bei neuen Vorgängen aktualisiert und müssen der zuständigen Behörde ein Jahr lang nach dem Verfallsdatum der Charge oder mindestens fünf Jahre nach der Erfassung zur Verfügung stehen, je nachdem, welcher Zeitraum länger ist.</w:t>
      </w:r>
    </w:p>
    <w:p>
      <w:r>
        <w:t>(9) Für in der Union hergestellte, in ein Drittland ausgeführte und anschließend in die Union wiedereingeführte Tierarzneimittel gilt Absatz 6.</w:t>
      </w:r>
    </w:p>
    <w:p>
      <w:r>
        <w:t>(10) Bei Tierarzneimitteln, die aus Drittländern eingeführt werden, mit denen die Union Vereinbarungen über die Anwendung von Standards der guten Herstellungspraxis getroffen hat, die denen gemäß Artikel 93 Absatz 2 mindestens gleichwertig sind, und bei denen im ausführenden Land nachweislich die Prüfungen gemäß Absatz 6 des vorliegenden Artikels durchgeführt wurden, kann die sachkundige Person den Prüfbericht nach Absatz 6 des vorliegenden Artikels ohne die nach Absatz 7 des vorliegenden Artikels erforderlichen Prüfungen verfassen, vorbehaltlich eines anderslautenden Beschlusses der zuständigen Behörde des einführenden Mitgliedstaats.</w:t>
      </w:r>
    </w:p>
    <w:p>
      <w:pPr>
        <w:pStyle w:val="Heading2"/>
      </w:pPr>
      <w:r>
        <w:t>Artikel 98 Zertifikate für Tierarzneimittel</w:t>
      </w:r>
    </w:p>
    <w:p>
      <w:r>
        <w:t>(1) Auf Ersuchen eines Herstellers oder Ausführers von Tierarzneimitteln oder der Behörden eines einführenden Drittlandes bescheinigt die zuständige Behörde oder die Agentur, dass</w:t>
      </w:r>
    </w:p>
    <w:p>
      <w:r>
        <w:t>a) der Hersteller über eine Herstellungserlaubnis verfügt,</w:t>
      </w:r>
    </w:p>
    <w:p>
      <w:r>
        <w:t>b) ein Zertifikat über die gute Herstellungspraxis gemäß Artikel 94 besitzt oder</w:t>
      </w:r>
    </w:p>
    <w:p>
      <w:r>
        <w:t>c) für das betreffende Tierarzneimittel eine Zulassung in dem betreffenden Mitgliedstaat oder, im Falle eines an die Agentur gerichteten Ersuchens, eine zentralisierte Zulassung erteilt wurde.</w:t>
      </w:r>
    </w:p>
    <w:p>
      <w:r>
        <w:t>(2) Bei der Ausstellung solcher Zertifikate berücksichtigt die zuständige Behörde bzw. die Agentur die geltenden administrativen Vorschriften für Inhalt und Form derartiger Zertifikate.</w:t>
      </w:r>
    </w:p>
    <w:p>
      <w:pPr>
        <w:pStyle w:val="Heading1"/>
      </w:pPr>
      <w:r>
        <w:t>KAPITEL VII ABGABE UND ANWENDUNG</w:t>
      </w:r>
    </w:p>
    <w:p>
      <w:pPr>
        <w:pStyle w:val="Heading1"/>
      </w:pPr>
      <w:r>
        <w:t>KAPITEL VII ABGABE UND ANWENDUNG (Fortsetzung)</w:t>
      </w:r>
    </w:p>
    <w:p>
      <w:pPr>
        <w:pStyle w:val="Heading2"/>
      </w:pPr>
      <w:r>
        <w:t>Abschnitt 1 Großhandelsvertrieb</w:t>
      </w:r>
    </w:p>
    <w:p>
      <w:pPr>
        <w:pStyle w:val="Heading1"/>
      </w:pPr>
      <w:r>
        <w:t>KAPITEL VII ABGABE UND ANWENDUNG (Fortsetzung)</w:t>
      </w:r>
    </w:p>
    <w:p>
      <w:pPr>
        <w:pStyle w:val="Heading2"/>
      </w:pPr>
      <w:r>
        <w:t>Artikel 99 Großhandelsvertriebserlaubnis</w:t>
      </w:r>
    </w:p>
    <w:p>
      <w:r>
        <w:t>(1) Der Großhandel mit Tierarzneimitteln darf nur mit einer Großhandelsvertriebserlaubnis betrieben werden.</w:t>
      </w:r>
    </w:p>
    <w:p>
      <w:r>
        <w:t>(2) Die Inhaber einer Großhandelsvertriebserlaubnis müssen in der Union niedergelassen sein.</w:t>
      </w:r>
    </w:p>
    <w:p>
      <w:r>
        <w:t>(3) Eine Großhandelsvertriebserlaubnis ist in der gesamten Union gültig.</w:t>
      </w:r>
    </w:p>
    <w:p>
      <w:r>
        <w:t>(4) Die Mitgliedstaaten können beschließen, dass die Abgabe kleiner Mengen von Tierarzneimitteln zwischen zwei Einzelhändlern in ein und demselben Mitgliedstaat nicht an die Voraussetzung, eine Großhandelsvertriebserlaubnis zu besitzen, gebunden ist.</w:t>
      </w:r>
    </w:p>
    <w:p>
      <w:r>
        <w:t>(5) Abweichend von Absatz 1 ist der Inhaber einer Herstellungserlaubnis nicht verpflichtet, für die betreffenden Tierarzneimittel eine Großhandelsvertriebserlaubnis zu besitzen.</w:t>
      </w:r>
    </w:p>
    <w:p>
      <w:r>
        <w:t>(6) Die Kommission erlässt im Wege von Durchführungsrechtsakten Vorschriften für die gute Vertriebspraxis für Tierarzneimittel. Diese Durchführungsrechtsakte werden nach dem in Artikel 145 Absatz 2 genannten Prüfverfahren erlassen.</w:t>
      </w:r>
    </w:p>
    <w:p>
      <w:pPr>
        <w:pStyle w:val="Heading1"/>
      </w:pPr>
      <w:r>
        <w:t>KAPITEL VII ABGABE UND ANWENDUNG (Fortsetzung)</w:t>
      </w:r>
    </w:p>
    <w:p>
      <w:pPr>
        <w:pStyle w:val="Heading2"/>
      </w:pPr>
      <w:r>
        <w:t>Artikel 100 Antragstellung und Verfahren für eine Großhandelsvertriebserlaubnis</w:t>
      </w:r>
    </w:p>
    <w:p>
      <w:r>
        <w:t>(1) Ein Antrag auf eine Großhandelsvertriebserlaubnis wird bei der zuständigen Behörde in dem Mitgliedstaat gestellt, in dem der Betrieb oder die Betriebe des Großhändlers ansässig sind.</w:t>
      </w:r>
    </w:p>
    <w:p>
      <w:r>
        <w:t>(2) Der Antragsteller muss in seinem Antrag nachweisen, dass die folgenden Anforderungen erfüllt werden:</w:t>
      </w:r>
    </w:p>
    <w:p>
      <w:r>
        <w:t>a) Der Antragsteller verfügt über fachlich kompetentes Personal und insbesondere mindestens eine Person, die als verantwortliche Person benannt wird und die die Voraussetzungen nach nationalem Recht erfüllt.</w:t>
      </w:r>
    </w:p>
    <w:p>
      <w:r>
        <w:t>b) Der Antragsteller verfügt über geeignete und ausreichende Betriebsräume, die den gesetzlichen Anforderungen genügen, die der jeweilige Mitgliedstaat zur Aufbewahrung der Tierarzneimittel und ihrer Handhabung vorsieht.</w:t>
      </w:r>
    </w:p>
    <w:p>
      <w:r>
        <w:t>c) Der Antragsteller verfügt über einen Plan, mit dem er eine Rücknahme oder einen Rückruf vom Markt wirksam sicherstellt, die oder der von den zuständigen Behörden oder der Kommission angeordnet wurde oder zusammen mit dem Hersteller oder dem Inhaber der Zulassung für das betreffende Tierarzneimittel durchgeführt wird.</w:t>
      </w:r>
    </w:p>
    <w:p>
      <w:r>
        <w:t>d) Der Antragsteller hat ein geeignetes Buchführungssystem eingerichtet, mit dem die Einhaltung der Anforderungen nach Artikel 101 sichergestellt ist.</w:t>
      </w:r>
    </w:p>
    <w:p>
      <w:r>
        <w:t>e) Der Antragsteller erklärt, dass er die Anforderungen nach Artikel 101 erfüllt.</w:t>
      </w:r>
    </w:p>
    <w:p>
      <w:r>
        <w:t>(3) Die Mitgliedstaaten legen die Verfahren für die Erteilung, die Verweigerung, die Aussetzung bzw. das Ruhen, den Rückruf oder die Änderung einer Großhandelsvertriebserlaubnis fest.</w:t>
      </w:r>
    </w:p>
    <w:p>
      <w:r>
        <w:t>(4) Die Verfahren gemäß Absatz 3 dürfen nicht länger als 90 Tage ab, soweit zutreffend, dem Eingang eines Antrags nach nationalem Recht bei der zuständigen Behörde dauern.</w:t>
      </w:r>
    </w:p>
    <w:p>
      <w:r>
        <w:t>(5) Die zuständige Behörde:</w:t>
      </w:r>
    </w:p>
    <w:p>
      <w:r>
        <w:t>a) unterrichtet den Antragsteller über das Ergebnis der Bewertung,</w:t>
      </w:r>
    </w:p>
    <w:p>
      <w:r>
        <w:t>b) erteilt, verweigert oder ändert die Großhandelsvertriebserlaubnis und</w:t>
      </w:r>
    </w:p>
    <w:p>
      <w:r>
        <w:t>c) speichert die die Erlaubnis betreffenden Informationen in der in Artikel 91 genannten Herstellungs- und Großhandelsvertriebsdatenbank.</w:t>
      </w:r>
    </w:p>
    <w:p>
      <w:pPr>
        <w:pStyle w:val="Heading1"/>
      </w:pPr>
      <w:r>
        <w:t>KAPITEL VII ABGABE UND ANWENDUNG (Fortsetzung)</w:t>
      </w:r>
    </w:p>
    <w:p>
      <w:pPr>
        <w:pStyle w:val="Heading2"/>
      </w:pPr>
      <w:r>
        <w:t>Artikel 101 Pflichten der Großhändler</w:t>
      </w:r>
    </w:p>
    <w:p>
      <w:r>
        <w:t>(1) Großhändler dürfen Tierarzneimittel nur bei Inhabern einer Herstellungserlaubnis oder von anderen Inhabern einer Großhandelsvertriebserlaubnis beziehen.</w:t>
      </w:r>
    </w:p>
    <w:p>
      <w:r>
        <w:t>(2) Ein Großhändler darf Tierarzneimittel nur an Personen, die nach Artikel 103 Absatz 1 zum Einzelhandel in einem Mitgliedstaat berechtigt sind, an andere Großhändler für Tierarzneimittel und an nach nationalem Recht berechtigte andere Personen oder Unternehmen liefern.</w:t>
      </w:r>
    </w:p>
    <w:p>
      <w:r>
        <w:t>(3) Der Inhaber einer Großhandelsvertriebserlaubnis muss ständig über die Dienste mindestens einer für den Großhandel verantwortlichen Person verfügen.</w:t>
      </w:r>
    </w:p>
    <w:p>
      <w:r>
        <w:t>(4) Die Großhändler stellen im Rahmen ihrer Zuständigkeiten eine angemessene und kontinuierliche Bereitstellung von Tierarzneimitteln für die Personen sicher, die nach Artikel 103 Absatz 1 zur Bereitstellung berechtigt sind, sodass der Bedarf im Bereich der Tiergesundheit in dem jeweiligen Mitgliedstaat gedeckt ist.</w:t>
      </w:r>
    </w:p>
    <w:p>
      <w:r>
        <w:t>(5) Ein Großhändler muss sich an die gute Vertriebspraxis für Tierarzneimittel nach Artikel 99 Absatz 6 halten.</w:t>
      </w:r>
    </w:p>
    <w:p>
      <w:r>
        <w:t>(6) Die Großhändler unterrichten umgehend die zuständige Behörde und gegebenenfalls den Zulassungsinhaber, wenn ihnen Tierarzneimittel geliefert oder angeboten werden, die sie als gefälscht oder mutmaßlich gefälscht erkennen.</w:t>
      </w:r>
    </w:p>
    <w:p>
      <w:r>
        <w:t>(7) Ein Großhändler sorgt für eine detaillierte Buchführung und erfasst zu jeder Transaktion mindestens folgende Angaben:</w:t>
      </w:r>
    </w:p>
    <w:p>
      <w:r>
        <w:t>a) Zeitpunkt der Transaktion,</w:t>
      </w:r>
    </w:p>
    <w:p>
      <w:r>
        <w:t>b) Name des Tierarzneimittels sowie gegebenenfalls seine Darreichungsform bzw. Stärke,</w:t>
      </w:r>
    </w:p>
    <w:p>
      <w:r>
        <w:t>c) Chargenbezeichnung,</w:t>
      </w:r>
    </w:p>
    <w:p>
      <w:r>
        <w:t>d) Verfallsdatum des Tierarzneimittels,</w:t>
      </w:r>
    </w:p>
    <w:p>
      <w:r>
        <w:t>e) eingegangene bzw. gelieferte Menge mit Angabe der Packungsgröße und der Anzahl der Packungen,</w:t>
      </w:r>
    </w:p>
    <w:p>
      <w:r>
        <w:t>f) Name oder Firma und ständige Anschrift oder eingetragene Niederlassung des Lieferanten beim Kauf bzw. des Empfängers beim Verkauf.</w:t>
      </w:r>
    </w:p>
    <w:p>
      <w:r>
        <w:t>(8) Mindestens einmal jährlich nimmt der Inhaber einer Großhandelsvertriebserlaubnis eine gründliche Inventur seines Bestands vor und gleicht die verbuchten Ein- und Ausgänge von Tierarzneimitteln mit dem aktuellen Lagerbestand ab. Jede Abweichung wird festgehalten. Die Aufzeichnungen sind den zuständigen Behörden fünf Jahre lang zur Kontrolle zur Verfügung zu halten.</w:t>
      </w:r>
    </w:p>
    <w:p>
      <w:pPr>
        <w:pStyle w:val="Heading1"/>
      </w:pPr>
      <w:r>
        <w:t>KAPITEL VII ABGABE UND ANWENDUNG (Fortsetzung)</w:t>
      </w:r>
    </w:p>
    <w:p>
      <w:pPr>
        <w:pStyle w:val="Heading2"/>
      </w:pPr>
      <w:r>
        <w:t>Artikel 102 Parallelhandel mit Tierarzneimitteln</w:t>
      </w:r>
    </w:p>
    <w:p>
      <w:r>
        <w:t>(1) Für den Zweck des Parallelhandels mit Tierarzneimitteln stellt der Großhändler sicher, dass das Tierarzneimittel, das er aus einem Mitgliedstaat (im Folgenden „Bezugsmitgliedstaat“) beziehen und in einem anderen Mitgliedstaat (im Folgenden „Bestimmungsmitgliedstaat“) vertreiben möchte, die gleiche Herkunft hat wie das Tierarzneimittel, das in dem Bestimmungsmitgliedstaat bereits zugelassen ist. Tierarzneimittel haben die gleiche Herkunft, wenn sie alle folgenden Bedingungen erfüllen:</w:t>
      </w:r>
    </w:p>
    <w:p>
      <w:r>
        <w:t>a) sie weisen dieselbe qualitative und quantitative Zusammensetzung ihrer Wirkstoffe und Hilfsstoffe auf,</w:t>
      </w:r>
    </w:p>
    <w:p>
      <w:r>
        <w:t>b) sie weisen dieselbe Darreichungsform auf,</w:t>
      </w:r>
    </w:p>
    <w:p>
      <w:r>
        <w:t>c) sie weisen dieselben klinischen Angaben und gegebenenfalls dieselbe Wartezeit auf, und</w:t>
      </w:r>
    </w:p>
    <w:p>
      <w:r>
        <w:t>d) sie wurden von demselben Hersteller oder von einem anderen Hersteller unter Lizenz gemäß derselben Formulierung erzeugt.</w:t>
      </w:r>
    </w:p>
    <w:p>
      <w:r>
        <w:t>(2) Das aus einem Bezugsmitgliedstaat bezogene Tierarzneimittel entspricht den Kennzeichnungs- und Sprachanforderungen des Bestimmungsmitgliedstaats.</w:t>
      </w:r>
    </w:p>
    <w:p>
      <w:r>
        <w:t>(3) Die zuständigen Behörden legen administrative Abläufe für den Parallelhandel mit Tierarzneimitteln und administrative Abläufe für die Genehmigung eines Antrags auf Parallelhandel mit Tierarzneimitteln fest.</w:t>
      </w:r>
    </w:p>
    <w:p>
      <w:r>
        <w:t>(4) Die zuständigen Behörden des Bestimmungsmitgliedstaats machen der Öffentlichkeit in der Produktdatenbank gemäß Artikel 55 ein Verzeichnis der Tierarzneimittel, die in diesem Mitgliedstaat parallel gehandelt werden, zugänglich.</w:t>
      </w:r>
    </w:p>
    <w:p>
      <w:r>
        <w:t>(5) Ein Großhändler, der nicht gleichzeitig der Zulassungsinhaber ist, benachrichtigt den Zulassungsinhaber und die zuständige Behörde des Bezugsmitgliedstaats über seine Absicht, mit dem Tierarzneimittel in einem Bestimmungsmitgliedstaat parallel zu handeln.</w:t>
      </w:r>
    </w:p>
    <w:p>
      <w:r>
        <w:t>(6) Jeder Großhändler, der beabsichtigt, mit einem Tierarzneimittel in einem Bestimmungsmitgliedstaat parallel zu handeln, erfüllt zumindest folgende Verpflichtungen:</w:t>
      </w:r>
    </w:p>
    <w:p>
      <w:r>
        <w:t>a) Er reicht eine Erklärung bei der zuständigen Behörde im Bestimmungsmitgliedstaat ein und ergreift angemessene Maßnahmen, um sicherzustellen, dass er von dem Großhändler im Bezugsmitgliedstaat über etwaige Probleme im Zusammenhang mit der Pharmakovigilanz in Kenntnis gesetzt wird,</w:t>
      </w:r>
    </w:p>
    <w:p>
      <w:r>
        <w:t>b) Er benachrichtigt den Zulassungsinhaber im Bestimmungsmitgliedstaat über das Tierarzneimittel, das aus dem Bezugsmitgliedstaat bezogen und im Bestimmungsmitgliedstaat vermarktet werden soll, mindestens einen Monat bevor er den Antrag auf Parallelhandel mit diesem Tierarzneimittel bei der zuständigen Behörde einreicht,</w:t>
      </w:r>
    </w:p>
    <w:p>
      <w:r>
        <w:t>c) Er reicht eine schriftliche Erklärung bei der zuständigen Behörde des Bestimmungsmitgliedstaats darüber ein, dass der Zulassungsinhaber im Bestimmungsmitgliedstaat gemäß Buchstabe b benachrichtigt wurde, wobei eine Kopie dieser Benachrichtigung beizulegen ist.</w:t>
      </w:r>
    </w:p>
    <w:p>
      <w:r>
        <w:t>d) Er handelt nicht mit einem Tierarzneimittel, das im Bezugsmitgliedstaat oder im Bestimmungsmitgliedstaat aus Gründen vom Markt genommen wurde, die mit seiner Qualität, Unbedenklichkeit oder Wirksamkeit in Verbindung stehen;</w:t>
      </w:r>
    </w:p>
    <w:p>
      <w:r>
        <w:t>e) Er sammelt Informationen über unerwünschte Ereignisse und berichtet diese dem Zulassungsinhaber des parallel gehandelten Tierarzneimittels.</w:t>
      </w:r>
    </w:p>
    <w:p>
      <w:r>
        <w:t>(7) Zu allen Tierarzneimitteln werden folgende Angaben dem in Absatz 4 genannten Verzeichnis beigefügt:</w:t>
      </w:r>
    </w:p>
    <w:p>
      <w:r>
        <w:t>a) Bezeichnung der Tierarzneimittel,</w:t>
      </w:r>
    </w:p>
    <w:p>
      <w:r>
        <w:t>b) Wirkstoffe,</w:t>
      </w:r>
    </w:p>
    <w:p>
      <w:r>
        <w:t>c) Darreichungsformen,</w:t>
      </w:r>
    </w:p>
    <w:p>
      <w:r>
        <w:t>d) Einstufung des Tierarzneimittels im Bestimmungsmitgliedstaat,</w:t>
      </w:r>
    </w:p>
    <w:p>
      <w:r>
        <w:t>e) Zulassungsnummer des Tierarzneimittels im Bezugsmitgliedstaat,</w:t>
      </w:r>
    </w:p>
    <w:p>
      <w:r>
        <w:t>f) Zulassungsnummer des Tierarzneimittels im Bestimmungsmitgliedstaat,</w:t>
      </w:r>
    </w:p>
    <w:p>
      <w:r>
        <w:t>g) Name oder Firma und ständige Anschrift oder eingetragene Niederlassung des Großhändlers im Bezugsmitgliedstaat sowie Name und Adresse des Großhändlers im Bestimmungsmitgliedstaat.</w:t>
      </w:r>
    </w:p>
    <w:p>
      <w:r>
        <w:t>(8) Dieser Artikel gilt nicht für Tierarzneimittel, für die das zentralisierte Zulassungsverfahren gilt.</w:t>
      </w:r>
    </w:p>
    <w:p>
      <w:pPr>
        <w:pStyle w:val="Heading1"/>
      </w:pPr>
      <w:r>
        <w:t>KAPITEL VII ABGABE UND ANWENDUNG (Fortsetzung)</w:t>
      </w:r>
    </w:p>
    <w:p>
      <w:pPr>
        <w:pStyle w:val="Heading2"/>
      </w:pPr>
      <w:r>
        <w:t>Abschnitt 2 Einzelhandel</w:t>
      </w:r>
    </w:p>
    <w:p>
      <w:pPr>
        <w:pStyle w:val="Heading1"/>
      </w:pPr>
      <w:r>
        <w:t>KAPITEL VII ABGABE UND ANWENDUNG (Fortsetzung)</w:t>
      </w:r>
    </w:p>
    <w:p>
      <w:pPr>
        <w:pStyle w:val="Heading2"/>
      </w:pPr>
      <w:r>
        <w:t>Artikel 103 Einzelhandel mit Tierarzneimitteln und Buchführung</w:t>
      </w:r>
    </w:p>
    <w:p>
      <w:r>
        <w:t>(1) Die Bestimmungen über den Einzelhandel mit Tierarzneimitteln werden durch nationales Recht festgelegt, sofern in dieser Verordnung nicht anders bestimmt.</w:t>
      </w:r>
    </w:p>
    <w:p>
      <w:r>
        <w:t>(2) Unbeschadet der Bestimmungen des Artikels 99 Absatz 4 dürfen Einzelhändler, die mit Tierarzneimitteln handeln, Tierarzneimittel nur von Inhabern einer Großhandelserlaubnis erhalten.</w:t>
      </w:r>
    </w:p>
    <w:p>
      <w:r>
        <w:t>(3) Der Einzelhändler führt ausführlich Buch über alle folgenden Informationen zu geschäftlichen Transaktionen mit Tierarzneimitteln, die gemäß Artikel 34 verschreibungspflichtig sind:</w:t>
      </w:r>
    </w:p>
    <w:p>
      <w:r>
        <w:t>a) Zeitpunkt der Transaktion,</w:t>
      </w:r>
    </w:p>
    <w:p>
      <w:r>
        <w:t>b) Name des Tierarzneimittels sowie gegebenenfalls seine Darreichungsform und Stärke,</w:t>
      </w:r>
    </w:p>
    <w:p>
      <w:r>
        <w:t>c) Chargenbezeichnung,</w:t>
      </w:r>
    </w:p>
    <w:p>
      <w:r>
        <w:t>d) eingegangene bzw. gelieferte Menge,</w:t>
      </w:r>
    </w:p>
    <w:p>
      <w:r>
        <w:t>e) Name oder Firma und ständige Anschrift oder eingetragene Niederlassung des Lieferanten beim Kauf bzw. des Empfängers beim Verkauf,</w:t>
      </w:r>
    </w:p>
    <w:p>
      <w:r>
        <w:t>f) Name und Kontaktangaben des verschreibenden Tierarztes, gegebenenfalls mit Kopie der tierärztlichen Verschreibung,</w:t>
      </w:r>
    </w:p>
    <w:p>
      <w:r>
        <w:t>g) Zulassungsnummer.</w:t>
      </w:r>
    </w:p>
    <w:p>
      <w:r>
        <w:t>(4) Die Mitgliedstaaten können, wenn sie es als erforderlich erachten, den Einzelhändlern vorschreiben, über alle geschäftlichen Transaktionen mit Tierarzneimitteln, die keiner tierärztlichen Verschreibungspflicht unterliegen, ausführlich Buch zu führen.</w:t>
      </w:r>
    </w:p>
    <w:p>
      <w:r>
        <w:t>(5) Mindestens einmal jährlich nimmt der Einzelhändler eine gründliche Inventur seines Bestands vor und gleicht die verbuchten Ein- und Ausgänge von Tierarzneimitteln mit dem aktuellen Lagerbestand ab. Über jede Abweichung wird Buch geführt. Die Ergebnisse der gründlichen Inventur und die Aufzeichnungen gemäß Absatz 3 des vorliegenden Artikels sind den zuständigen Behörden gemäß Artikel 123 fünf Jahre zur Kontrolle zur Verfügung zu halten.</w:t>
      </w:r>
    </w:p>
    <w:p>
      <w:r>
        <w:t>(6) Die Mitgliedstaaten können für den Einzelhandel mit Tierarzneimitteln in ihrem Hoheitsgebiet Bedingungen festlegen, die durch Belange des Schutzes der öffentlichen und der Tiergesundheit oder des Umweltschutzes gerechtfertigt sind, sofern diese Bedingungen dem Unionsrecht entsprechen und verhältnismäßig sowie nicht-diskriminierend sind.</w:t>
      </w:r>
    </w:p>
    <w:p>
      <w:pPr>
        <w:pStyle w:val="Heading1"/>
      </w:pPr>
      <w:r>
        <w:t>KAPITEL VII ABGABE UND ANWENDUNG (Fortsetzung)</w:t>
      </w:r>
    </w:p>
    <w:p>
      <w:pPr>
        <w:pStyle w:val="Heading2"/>
      </w:pPr>
      <w:r>
        <w:t>Artikel 104 Einzelhandel mit Tierarzneimitteln im Fernabsatz</w:t>
      </w:r>
    </w:p>
    <w:p>
      <w:r>
        <w:t>(1) Personen, die gemäß Artikel 103 Absatz 1 der vorliegenden Verordnung mit Tierarzneimitteln handeln dürfen, können diese durch Dienste der Informationsgesellschaft im Sinne der Richtlinie (EU) 2015/1535 des Europäischen Parlaments und des Rates in der Union niedergelassenen natürlichen oder juristischen Personen anbieten, sofern diese Tierarzneimittel nicht einer tierärztlichen Verschreibungspflicht gemäß Artikel 34 der vorliegenden Verordnung unterliegen und der vorliegenden Verordnung sowie dem geltenden Recht des Mitgliedstaats, in dem die Tierarzneimittel verkauft werden, entsprechen.</w:t>
      </w:r>
    </w:p>
    <w:p>
      <w:r>
        <w:t>(2) Abweichend von Absatz 1 des vorliegenden Artikels kann ein Mitgliedstaat Personen, die gemäß Artikel 103 Absatz 1 mit Tierarzneimitteln handeln dürfen, gestatten, Tierarzneimittel, die einer tierärztlichen Verschreibungspflicht gemäß Artikel 34 unterliegen, durch Dienste der Informationsgesellschaft anzubieten, sofern der Mitgliedstaat sichere Strukturen für diesen Handel geschaffen hat. Eine derartige Erlaubnis wird nur Personen erteilt, die im Hoheitsgebiet des jeweiligen Mitgliedstaats niedergelassen sind, und die Belieferung erfolgt ausschließlich innerhalb dieses Mitgliedstaats.</w:t>
      </w:r>
    </w:p>
    <w:p>
      <w:r>
        <w:t>(3) Der Mitgliedstaat im Sinne von Absatz 2 stellt sicher, dass geeignete Maßnahmen getroffen wurden/greifen, damit die Anforderung einer tierärztlichen Verschreibung bei Belieferungen durch Dienste der Informationsgesellschaft erfüllt werden, und setzt die Kommission und die anderen Mitgliedstaaten in Kenntnis, wenn er von der Ausnahmeregelung gemäß Absatz 2 Gebrauch macht; er arbeitet gegebenenfalls mit der Kommission und den anderen Mitgliedstaaten zusammen, damit diese Form der Belieferung keine unbeabsichtigten Folgen nach sich zieht. Die Mitgliedstaaten erlassen Bestimmungen über angemessene Sanktionen, um sicherzustellen, dass die nationalen Bestimmungen einschließlich der Bestimmungen über den Entzug einer derartigen Erlaubnis eingehalten werden.</w:t>
      </w:r>
    </w:p>
    <w:p>
      <w:r>
        <w:t>(4) Die Personen und Aktivitäten gemäß den Absätzen 1 und 2 des vorliegenden Artikels unterliegen den Kontrollen gemäß Absatz 123 durch die zuständige Behörde des Mitgliedstaats, in dem der Einzelhändler niedergelassen ist.</w:t>
      </w:r>
    </w:p>
    <w:p>
      <w:r>
        <w:t>(5) Zusätzlich zu den in Artikel 6 der Richtlinie 2000/31/EG des Europäischen Parlaments und des Rates vorgeschriebenen Angaben müssen Einzelhändler, die Tierarzneimittel durch Dienste der Informationsgesellschaft anbieten, mindestens die folgenden Angaben machen:</w:t>
      </w:r>
    </w:p>
    <w:p>
      <w:r>
        <w:t>a) Kontaktangaben der zuständigen Behörde des Mitgliedstaats, in dem der Einzelhändler, der die Tierarzneimittel anbietet, niedergelassen ist,</w:t>
      </w:r>
    </w:p>
    <w:p>
      <w:r>
        <w:t>b) einen Hyperlink zur gemäß Absatz 8 des vorliegenden Artikels eingerichteten Internetseite des Mitgliedstaats der Niederlassung,</w:t>
      </w:r>
    </w:p>
    <w:p>
      <w:r>
        <w:t>c) das gemäß Absatz 6 des vorliegenden Artikels geschaffene gemeinsame Logo, das deutlich sichtbar auf jeder Seite der Internetseite erscheinen muss, auf der Tierarzneimittel zum Verkauf im Fernabsatz angeboten werden, und das einen Hyperlink zu dem Eintrag des Einzelhändlers in der Liste der zulässigen Einzelhändler gemäß Absatz 8 Buchstabe c des vorliegenden Artikels enthält.</w:t>
      </w:r>
    </w:p>
    <w:p>
      <w:r>
        <w:t>(6) Die Kommission schafft ein gemeinsames Logo gemäß Absatz 7, das in der gesamten Union erkennbar ist und anhand dessen der Mitgliedstaat ermittelt werden kann, in dem die Person, die das Tierarzneimittel zum Verkauf im Fernabsatz anbietet, niedergelassen ist. Das Logo ist deutlich sichtbar auf Internetseiten anzuzeigen, auf denen der Öffentlichkeit Tierarzneimittel zum Verkauf im Fernabsatz angeboten werden.</w:t>
      </w:r>
    </w:p>
    <w:p>
      <w:r>
        <w:t>(7) Die Kommission legt im Wege von Durchführungsrechtsakten die Gestaltung des gemeinsamen Logos gemäß Absatz 6 des vorliegenden Artikels fest. Diese Durchführungsrechtsakte werden nach dem in Artikel 145 Absatz 2 genannten Prüfverfahren erlassen.</w:t>
      </w:r>
    </w:p>
    <w:p>
      <w:r>
        <w:t>(8) Jeder Mitgliedstaat richtet eine Internetseite für den Verkauf von Tierarzneimitteln im Fernabsatz ein, die mindestens die folgenden Angaben enthält:</w:t>
      </w:r>
    </w:p>
    <w:p>
      <w:r>
        <w:t>a) Angaben zum nationalen Recht, das auf das Angebot von Tierarzneimitteln zum Verkauf im Fernabsatz durch Dienste der Informationsgesellschaft gemäß den Absätzen 1 und 2 anwendbar ist, einschließlich Angaben darüber, dass es Unterschiede zwischen den Mitgliedstaaten bei der Einstufung der angebotenen Tierarzneimittel geben kann,</w:t>
      </w:r>
    </w:p>
    <w:p>
      <w:r>
        <w:t>b) Angaben zum gemeinsamen Logo,</w:t>
      </w:r>
    </w:p>
    <w:p>
      <w:r>
        <w:t>c) eine Liste der in dem Mitgliedstaat niedergelassenen Einzelhändler, die gemäß den Absätzen 1 und 2 Tierarzneimittel zum Verkauf im Fernabsatz durch Dienste der Informationsgesellschaft anbieten dürfen, sowie die Adresse der Internetseite dieser Einzelhändler.</w:t>
      </w:r>
    </w:p>
    <w:p>
      <w:r>
        <w:t>(9) Die Agentur richtet eine Internetseite ein, die Angaben zum gemeinsamen Logo enthält. Auf der Internetseite der Agentur wird ausdrücklich darauf hingewiesen, dass die Internetseiten der Mitgliedstaaten Angaben über die Personen enthalten, die in dem entsprechenden Mitgliedstaat Tierarzneimittel zum Verkauf im Fernabsatz durch Dienste der Informationsgesellschaft anbieten dürfen.</w:t>
      </w:r>
    </w:p>
    <w:p>
      <w:r>
        <w:t>(10) Die Mitgliedstaaten können aus Gründen des öffentlichen Gesundheitsschutzes gerechtfertigte Bedingungen für den Einzelhandel mit Tierarzneimitteln auf ihrem Hoheitsgebiet aufstellen, die zum Verkauf im Fernabsatz durch Dienste der Informationsgesellschaft angeboten werden.</w:t>
      </w:r>
    </w:p>
    <w:p>
      <w:r>
        <w:t>(11) Die von den Mitgliedstaaten eingerichteten Internetseiten enthalten einen Hyperlink zu der gemäß Absatz 9 eingerichteten Internetseite der Agentur.</w:t>
      </w:r>
    </w:p>
    <w:p>
      <w:pPr>
        <w:pStyle w:val="Heading1"/>
      </w:pPr>
      <w:r>
        <w:t>KAPITEL VII ABGABE UND ANWENDUNG (Fortsetzung)</w:t>
      </w:r>
    </w:p>
    <w:p>
      <w:pPr>
        <w:pStyle w:val="Heading2"/>
      </w:pPr>
      <w:r>
        <w:t>Artikel 105 Tierärztliche Verschreibungen</w:t>
      </w:r>
    </w:p>
    <w:p>
      <w:r>
        <w:t>(1) Eine tierärztliche Verschreibung für antimikrobiell wirksame Arzneimittel zur Metaphylaxe wird nur nach der Diagnose einer Infektionskrankheit durch einen Tierarzt ausgestellt.</w:t>
      </w:r>
    </w:p>
    <w:p>
      <w:r>
        <w:t>(2) Der Tierarzt muss in der Lage sein, die tierärztliche Verschreibung von antimikrobiell wirksamen Arzneimitteln insbesondere für Meta- und Prophylaxe zu rechtfertigen.</w:t>
      </w:r>
    </w:p>
    <w:p>
      <w:r>
        <w:t>(3) Eine tierärztliche Verschreibung wird erst nach einer klinischen Prüfung oder einer anderen angemessenen Prüfung des Gesundheitszustands des Tieres oder der Gruppe von Tieren durch einen Tierarzt ausgestellt.</w:t>
      </w:r>
    </w:p>
    <w:p>
      <w:r>
        <w:t>(4) Abweichend von Artikel 4 Absatz 33 und Absatz 3 des vorliegenden Artikels kann ein Mitgliedstaat erlauben, dass eine tierärztliche Verschreibung von einer Person ausgestellt wird, die kein Tierarzt, jedoch in beruflicher Hinsicht gemäß den zum Zeitpunkt des Inkrafttretens dieser Verordnung geltenden nationalen Bestimmungen zur Ausstellung einer Verschreibung qualifiziert ist. Diese Verschreibungen sind nur in dem betroffenen Mitgliedstaat gültig und dürfen keine Verschreibungen von antimikrobiell wirksamen Arzneimitteln und anderen Tierarzneimitteln enthalten, für die eine Diagnose durch einen Tierarzt erforderlich ist.</w:t>
      </w:r>
    </w:p>
    <w:p>
      <w:r>
        <w:t>Für tierärztliche Verschreibungen, die von einer Person ausgestellt wurden, die kein Tierarzt ist, gelten sinngemäß die Absätze 5, 6, 8, 9 und 11 des vorliegenden Artikels.</w:t>
      </w:r>
    </w:p>
    <w:p>
      <w:r>
        <w:t>(5) Eine tierärztliche Verschreibung enthält mindestens die folgenden Elemente:</w:t>
      </w:r>
    </w:p>
    <w:p>
      <w:r>
        <w:t>a) Identität des behandelten Tieres oder der behandelten Gruppe von Tieren,</w:t>
      </w:r>
    </w:p>
    <w:p>
      <w:r>
        <w:t>b) vollständiger Name und Kontaktangaben des Tiereigentümers oder -halters,</w:t>
      </w:r>
    </w:p>
    <w:p>
      <w:r>
        <w:t>c) Ausstellungsdatum,</w:t>
      </w:r>
    </w:p>
    <w:p>
      <w:r>
        <w:t>d) vollständiger Name und Kontaktangaben des Tierarztes, einschließlich gegebenenfalls seine berufsständische Identifikationsnummer,</w:t>
      </w:r>
    </w:p>
    <w:p>
      <w:r>
        <w:t>e) Unterschrift oder gleichwertige elektronische Identifikation des Tierarztes,</w:t>
      </w:r>
    </w:p>
    <w:p>
      <w:r>
        <w:t>f) Name des verschriebenen Arzneimittels und seiner Wirkstoffe,</w:t>
      </w:r>
    </w:p>
    <w:p>
      <w:r>
        <w:t>g) Darreichungsform und Stärke,</w:t>
      </w:r>
    </w:p>
    <w:p>
      <w:r>
        <w:t>h) verschriebene Menge oder Anzahl der Packungen und Packungsgröße,</w:t>
      </w:r>
    </w:p>
    <w:p>
      <w:r>
        <w:t>i) Dosierungsschema,</w:t>
      </w:r>
    </w:p>
    <w:p>
      <w:r>
        <w:t>j) bei der Lebensmittelgewinnung dienenden Tierarten: Wartezeit, auch wenn dieser Zeitraum gleich Null ist,</w:t>
      </w:r>
    </w:p>
    <w:p>
      <w:r>
        <w:t>k) Warnhinweise, die für eine ordnungsgemäße Anwendung erforderlich sind, auch um gegebenenfalls die umsichtige Verwendung von antimikrobiellen Wirkstoffen sicherzustellen,</w:t>
      </w:r>
    </w:p>
    <w:p>
      <w:r>
        <w:t>l) Erklärung für den Fall, dass ein Arzneimittel gemäß Artikel 112, 113 und 114 verschrieben wird.</w:t>
      </w:r>
    </w:p>
    <w:p>
      <w:r>
        <w:t>m) Erklärung für den Fall, dass ein Arzneimittel gemäß Artikel 107 Absätze 3 und 4 verschrieben wird.</w:t>
      </w:r>
    </w:p>
    <w:p>
      <w:r>
        <w:t>(6) Die Menge der verschriebenen Arzneimittel wird auf die Menge beschränkt, die für die betreffende Behandlung oder Therapie erforderlich ist. Antimikrobiell wirksame Arzneimittel für die Meta- oder Prophylaxe werden nur für einen begrenzten Zeitraum verschrieben, der den Risikozeitraum umfasst.</w:t>
      </w:r>
    </w:p>
    <w:p>
      <w:r>
        <w:t>(7) Gemäß Absatz 3 ausgestellte tierärztliche Verschreibungen sind in der gesamten Union gültig.</w:t>
      </w:r>
    </w:p>
    <w:p>
      <w:r>
        <w:t>(8) Die Kommission kann im Wege von Durchführungsrechtsakten ein Musterformular für die Anforderungen gemäß Absatz 5 des vorliegenden Artikels festlegen. Dieses Musterformular wird auch in elektronischer Form zur Verfügung gestellt. Diese Durchführungsrechtsakte werden gemäß dem in Artikel 145 Absatz 2 genannten Prüfverfahren erlassen.</w:t>
      </w:r>
    </w:p>
    <w:p>
      <w:r>
        <w:t>(9) Die Abgabe eines verschriebenen Arzneimittels erfolgt in Übereinstimmung mit dem geltenden nationalen Recht.</w:t>
      </w:r>
    </w:p>
    <w:p>
      <w:r>
        <w:t>(10) Eine tierärztliche Verschreibung für ein antimikrobiell wirksames Arzneimittel ist nach ihrer Ausstellung fünf Tage lang gültig.</w:t>
      </w:r>
    </w:p>
    <w:p>
      <w:r>
        <w:t>(11) Die Mitgliedstaaten können zusätzlich zu den in diesem Artikel erwähnten Anforderungen Bestimmungen zur Buchführung durch Tierärzte über die von ihnen ausgestellten tierärztlichen Verschreibungen festlegen.</w:t>
      </w:r>
    </w:p>
    <w:p>
      <w:r>
        <w:t>(12) Unbeschadet der Bestimmungen von Artikel 34 kann ein Tierarzt ein Tierarzneimittel, das gemäß Artikel 34 als verschreibungspflichtig eingestuft ist, ohne tierärztliche Verschreibung persönlich verabreichen, es sei denn, einschlägige einzelstaatliche Bestimmungen sehen anderes vor; Die tierärztliche Buchführung einer solchen persönlichen Verabreichungen ohne Verschreibung erfolgt gemäß den einschlägigen einzelstaatlichen Bestimmungen.</w:t>
      </w:r>
    </w:p>
    <w:p>
      <w:pPr>
        <w:pStyle w:val="Heading1"/>
      </w:pPr>
      <w:r>
        <w:t>KAPITEL VII ABGABE UND ANWENDUNG (Fortsetzung)</w:t>
      </w:r>
    </w:p>
    <w:p>
      <w:pPr>
        <w:pStyle w:val="Heading2"/>
      </w:pPr>
      <w:r>
        <w:t>Abschnitt 3 Anwendung</w:t>
      </w:r>
    </w:p>
    <w:p>
      <w:pPr>
        <w:pStyle w:val="Heading1"/>
      </w:pPr>
      <w:r>
        <w:t>KAPITEL VII ABGABE UND ANWENDUNG (Fortsetzung)</w:t>
      </w:r>
    </w:p>
    <w:p>
      <w:pPr>
        <w:pStyle w:val="Heading2"/>
      </w:pPr>
      <w:r>
        <w:t>Artikel 106 Anwendung von Arzneimitteln</w:t>
      </w:r>
    </w:p>
    <w:p>
      <w:r>
        <w:t>(1) Tierarzneimittel werden in Übereinstimmung mit den Zulassungsbedingungen angewendet.</w:t>
      </w:r>
    </w:p>
    <w:p>
      <w:r>
        <w:t>(2) Die Anwendung von Tierarzneimitteln gemäß diesem Abschnitt erfolgt unbeschadet Artikel 46 und 47 der Verordnung (EU) 2016/429.</w:t>
      </w:r>
    </w:p>
    <w:p>
      <w:r>
        <w:t>(3) Die Mitgliedstaaten können nach ihrem Ermessen die Verfahren für das Inverkehrbringen der Arzneimittel festlegen, die sie für die Umsetzung der Artikel 110 bis 114 und 116 für erforderlich halten.</w:t>
      </w:r>
    </w:p>
    <w:p>
      <w:r>
        <w:t>(4) Die Mitgliedstaaten können in begründeten Fällen beschließen, dass ein Tierarzneimittel nur durch einen Tierarzt verabreicht bzw. angewendet werden darf.</w:t>
      </w:r>
    </w:p>
    <w:p>
      <w:r>
        <w:t>(5) Inaktivierte immunologische Tierarzneimittel gemäß Artikel 2 Absatz 3 werden bei den dort genannten Tieren nur unter außergewöhnlichen Umständen und gemäß einer tierärztlichen Verschreibung angewendet, und wenn kein immunologisches Tierarzneimittel für diese Zieltierart und dieses Anwendungsgebiet zugelassen ist.</w:t>
      </w:r>
    </w:p>
    <w:p>
      <w:r>
        <w:t>(6) Gemäß Artikel 147 erlässt die Kommission delegierte Rechtsakte, um diesen Artikel soweit erforderlich zu ergänzen, die Bestimmungen über angemessene Maßnahmen schaffen, mit denen eine wirksame und sichere Anwendung von Tierarzneimitteln sichergestellt werden soll, die für die orale Verabreichung bzw. Anwendung auf anderem Wege denn als Arzneifuttermittel zugelassen und verschrieben wurden, etwa auf dem Wege der Beimischung eines Tierarzneimittels zum Trinkwasser oder der manuellen Beimischung eines Tierarzneimittels zum Futter und der Verabreichung an die der Lebensmittelgewinnung dienenden Tiere durch den Tierhalter; Die Kommission berücksichtigt die wissenschaftlichen Empfehlungen der Agentur, wenn sie diese delegierten Rechtsakte erlässt.</w:t>
      </w:r>
    </w:p>
    <w:p>
      <w:pPr>
        <w:pStyle w:val="Heading1"/>
      </w:pPr>
      <w:r>
        <w:t>KAPITEL VII ABGABE UND ANWENDUNG (Fortsetzung)</w:t>
      </w:r>
    </w:p>
    <w:p>
      <w:pPr>
        <w:pStyle w:val="Heading2"/>
      </w:pPr>
      <w:r>
        <w:t>Artikel 107 Anwendung von antimikrobiell wirksamen Arzneimitteln</w:t>
      </w:r>
    </w:p>
    <w:p>
      <w:r>
        <w:t>(1) Antimikrobiell wirksame Arzneimittel dürfen nicht routinemäßig eingesetzt oder angewendet werden, um mangelhafte Hygiene, unzulängliche Haltungsbedingungen oder Pflege oder unzureichende Betriebsführung auszugleichen.</w:t>
      </w:r>
    </w:p>
    <w:p>
      <w:r>
        <w:t>(2) Antimikrobiell wirksame Arzneimittel werden Tieren nicht verabreicht, um ihr Wachstum zu fördern oder den Ertrag zu erhöhen.</w:t>
      </w:r>
    </w:p>
    <w:p>
      <w:r>
        <w:t>(3) Antimikrobiell wirksame Arzneimittel werden nur in Ausnahmefällen zur Prophylaxe angewendet und dann einem einzelnen Tier oder einer begrenzten Zahl von Tieren verabreicht, wenn das Risiko einer Infektion oder einer Infektionskrankheit sehr hoch ist und die Folgen wahrscheinlich schwerwiegend sein würden.</w:t>
      </w:r>
    </w:p>
    <w:p>
      <w:r>
        <w:t>In derartigen Fällen werden antibiotisch wirksame Arzneimittel zur Prophylaxe nur einzelnen Tieren und gemäß den in Unterabsatz 1 genannten Bedingungen verabreicht.</w:t>
      </w:r>
    </w:p>
    <w:p>
      <w:r>
        <w:t>(4) Antimikrobiell wirksame Arzneimittel werden nur dann zur Metaphylaxe angewendet, wenn das Risiko der Ausbreitung einer Infektion oder einer Infektionskrankheit in einer Gruppe von Tieren hoch ist und keine angemessenen Alternativen zur Verfügung stehen. Die Mitgliedstaaten können Empfehlungen zu diesen angemessenen Alternativen erstellen und unterstützen aktiv die Entwicklung und Umsetzung von Leitlinien, die das Verständnis der Risikofaktoren im Zusammenhang mit Metaphylaxe fördern und Kriterien für ihre Durchführung vorsehen.</w:t>
      </w:r>
    </w:p>
    <w:p>
      <w:r>
        <w:t>(5) Arzneimittel, die antimikrobielle Wirkstoffe gemäß Artikel 37 Absatz 5 enthalten, werden nicht gemäß den Bestimmungen von Artikel 112, 113 und 114 angewendet.</w:t>
      </w:r>
    </w:p>
    <w:p>
      <w:r>
        <w:t>(6) Die Kommission kann mittels Durchführungsrechtsakten und unter Berücksichtigung der wissenschaftlichen Empfehlungen durch die Agentur ein Verzeichnis antimikrobieller Arzneimittel erstellen, die:</w:t>
      </w:r>
    </w:p>
    <w:p>
      <w:r>
        <w:t>a) nicht gemäß den Bestimmungen von Artikel 112, 113 und 114 angewendet werden oder</w:t>
      </w:r>
    </w:p>
    <w:p>
      <w:r>
        <w:t>b) nur unter bestimmten Bedingungen gemäß den Bestimmungen von Artikel 112, 113 und 114 angewendet werden.</w:t>
      </w:r>
    </w:p>
    <w:p>
      <w:r>
        <w:t>Beim Erlass dieser Durchführungsrechtsakte berücksichtigt die Kommission die folgenden Kriterien:</w:t>
      </w:r>
    </w:p>
    <w:p>
      <w:r>
        <w:t>a) Risiken für die öffentliche oder die Tiergesundheit, wenn das antimikrobiell wirksame Arzneimittel gemäß den Bestimmungen von der Artikel 112, 113 und 114 angewendet wird,</w:t>
      </w:r>
    </w:p>
    <w:p>
      <w:r>
        <w:t>b) Risiko für die öffentliche oder die Tiergesundheit falls eine antimikrobielle Resistenz entsteht,</w:t>
      </w:r>
    </w:p>
    <w:p>
      <w:r>
        <w:t>c) Verfügbarkeit anderer Behandlungsverfahren für Tiere,</w:t>
      </w:r>
    </w:p>
    <w:p>
      <w:r>
        <w:t>d) Verfügbarkeit anderer Behandlungsverfahren mit antimikrobiell wirksamen Arzneimitteln für Menschen,</w:t>
      </w:r>
    </w:p>
    <w:p>
      <w:r>
        <w:t>e) Auswirkungen auf Aquakultur und Landwirtschaft, wenn das erkrankte Tier nicht behandelt wird.</w:t>
      </w:r>
    </w:p>
    <w:p>
      <w:r>
        <w:t>Diese Durchführungsrechtsakte werden gemäß dem in Artikel 145 Absatz 2 genannten Prüfverfahren erlassen.</w:t>
      </w:r>
    </w:p>
    <w:p>
      <w:r>
        <w:t>(7) Ein Mitgliedstaat kann die Anwendung bestimmter antimikrobieller Wirkstoffe bei Tieren auf seinem Hoheitsgebiet weiter einschränken oder verbieten, wenn die Verabreichung derartiger antimikrobieller Wirkstoffe einer einzelstaatlichen Strategie zur umsichtigen Verwendung von antimikrobiellen Wirkstoffe zuwiderläuft.</w:t>
      </w:r>
    </w:p>
    <w:p>
      <w:r>
        <w:t>(8) Von Mitgliedstaaten gemäß Absatz 7 durchgeführte Maßnahmen sind verhältnismäßig und gerechtfertigt.</w:t>
      </w:r>
    </w:p>
    <w:p>
      <w:r>
        <w:t>(9) Die Mitgliedstaaten setzen die Kommission von allen Maßnahmen, die auf der Grundlage von Absatz 7 ergriffen werden, in Kenntnis.</w:t>
      </w:r>
    </w:p>
    <w:p>
      <w:pPr>
        <w:pStyle w:val="Heading1"/>
      </w:pPr>
      <w:r>
        <w:t>KAPITEL VII ABGABE UND ANWENDUNG (Fortsetzung)</w:t>
      </w:r>
    </w:p>
    <w:p>
      <w:pPr>
        <w:pStyle w:val="Heading2"/>
      </w:pPr>
      <w:r>
        <w:t>Artikel 108 Buchführung durch Eigentümer und Halter von der Lebensmittelgewinnung dienenden Tieren</w:t>
      </w:r>
    </w:p>
    <w:p>
      <w:r>
        <w:t>(1) Die Eigentümer bzw. — wenn die Tiere nicht von den Eigentümern gehalten werden — die Halter von der Lebensmittelgewinnung dienenden Tieren führen Buch über die von ihnen angewendeten Arzneimittel und bewahren gegebenenfalls eine Kopie der tierärztlichen Verschreibungen auf.</w:t>
      </w:r>
    </w:p>
    <w:p>
      <w:r>
        <w:t>(2) Die in Absatz 1 genannten Aufzeichnungen umfassen:</w:t>
      </w:r>
    </w:p>
    <w:p>
      <w:r>
        <w:t>a) Datum der ersten Verabreichung des Arzneimittels an die Tiere,</w:t>
      </w:r>
    </w:p>
    <w:p>
      <w:r>
        <w:t>b) Bezeichnung des Arzneimittels,</w:t>
      </w:r>
    </w:p>
    <w:p>
      <w:r>
        <w:t>c) Menge des verabreichten Arzneimittels,</w:t>
      </w:r>
    </w:p>
    <w:p>
      <w:r>
        <w:t>d) Name oder Firma und ständige Anschrift oder eingetragene Niederlassung des Lieferanten,</w:t>
      </w:r>
    </w:p>
    <w:p>
      <w:r>
        <w:t>e) Beleg für den Erwerb des angewandten Arzneimittels,</w:t>
      </w:r>
    </w:p>
    <w:p>
      <w:r>
        <w:t>f) Identität des behandelten Tieres oder der behandelten Gruppe von Tieren,</w:t>
      </w:r>
    </w:p>
    <w:p>
      <w:r>
        <w:t>g) gegebenenfalls Name und Kontaktangaben des verschreibenden Tierarztes.</w:t>
      </w:r>
    </w:p>
    <w:p>
      <w:r>
        <w:t>h) Wartezeit, auch wenn dieser Zeitraum gleich Null ist,</w:t>
      </w:r>
    </w:p>
    <w:p>
      <w:r>
        <w:t>i) Behandlungsdauer.</w:t>
      </w:r>
    </w:p>
    <w:p>
      <w:r>
        <w:t>(3) Wenn die Angaben, über die gemäß Absatz 2 des vorliegenden Artikels Buch geführt werden muss, bereits der Kopie einer tierärztlichen Verschreibung, den im landwirtschaftlichen Betrieb geführten Büchern oder im Falle von Equiden dem einzigen, lebenslang gültigen Identifizierungsdokument gemäß Artikel 8 Absatz 4zu entnehmen sind, muss nicht getrennt über sie Buch geführt werden.</w:t>
      </w:r>
    </w:p>
    <w:p>
      <w:r>
        <w:t>(4) Die Mitgliedstaaten können zusätzliche Bestimmungen für die Buchführung durch Eigentümer und Halter von der Lebensmittelgewinnung dienenden Tieren festlegen.</w:t>
      </w:r>
    </w:p>
    <w:p>
      <w:r>
        <w:t>(5) Diese Angaben sind den zuständigen Behörden gemäß Artikel 123 mindestens fünf Jahre zur Kontrolle zur Verfügung zu halten.</w:t>
      </w:r>
    </w:p>
    <w:p>
      <w:pPr>
        <w:pStyle w:val="Heading1"/>
      </w:pPr>
      <w:r>
        <w:t>KAPITEL VII ABGABE UND ANWENDUNG (Fortsetzung)</w:t>
      </w:r>
    </w:p>
    <w:p>
      <w:pPr>
        <w:pStyle w:val="Heading2"/>
      </w:pPr>
      <w:r>
        <w:t>Artikel 109 Pflicht zur Buchführung in Bezug auf Equiden</w:t>
      </w:r>
    </w:p>
    <w:p>
      <w:r>
        <w:t>(1) Die Kommission erlässt zur Ergänzung dieser Verordnung delegierte Rechtsakte gemäß Artikel 147, um den Inhalt und das Format der Angaben festzulegen, die erforderlich sind, um Artikel 112 Absatz 4 und Artikel 115 Absatz 5 anzuwenden, und damit diese Angaben in das einzige, lebenslang gültige Identifizierungsdokument gemäß Artikel 8 Absatz 4 aufgenommen werden können.</w:t>
      </w:r>
    </w:p>
    <w:p>
      <w:r>
        <w:t>(2) Die Kommission erlässt Durchführungsrechtsakte, die Musterformulare zur Aufnahme der Angaben festlegen, die erforderlich sind, um Artikel 112 Absatz 4 und Artikel 115 Absatz 5 anzuwenden, und damit die Angaben in das einzige, lebenslang gültige Identifizierungsdokument gemäß Artikel 8 Absatz 4 aufgenommen werden können. Diese Durchführungsrechtsakte werden gemäß dem in Artikel 145 Absatz 2 genannten Prüfverfahren erlassen.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(6 von 12) Kap V-VII HOMÖOPATHISCHE TIERARZNEIMITTEL, HERSTELLUNG</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