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Tierarzneimittel Verordnung (EU) 2019-6 (8 von 12) Kap X-XII NETZ DER AN DER REGULIERUNG, ALLGEMEINE</w:t>
      </w:r>
    </w:p>
    <w:p>
      <w:r>
        <w:t>Quelle: Amtsblatt der EU, CELEX 32019R0006, https://eur-lex.europa.eu/legal-content/DE/TXT/?uri=CELEX:32019R0006</w:t>
      </w:r>
    </w:p>
    <w:p>
      <w:pPr>
        <w:pStyle w:val="Heading1"/>
      </w:pPr>
      <w:r>
        <w:t>KAPITEL X NETZ DER AN DER REGULIERUNG BETEILIGTEN STELLEN</w:t>
      </w:r>
    </w:p>
    <w:p>
      <w:pPr>
        <w:pStyle w:val="Heading2"/>
      </w:pPr>
      <w:r>
        <w:t>Artikel 137 Zuständige Behörden</w:t>
      </w:r>
    </w:p>
    <w:p>
      <w:r>
        <w:t>(1) Die Mitgliedstaaten benennen die Behörden, die für die Ausführung von Aufgaben gemäß dieser Verordnung zuständig sind.</w:t>
      </w:r>
    </w:p>
    <w:p>
      <w:r>
        <w:t>(2) Die Mitgliedstaaten sorgen für eine angemessene Mittelausstattung, damit den zuständigen Behörden das notwendige Personal und die sonstigen notwendigen Ressourcen für die Durchführung der in dieser Verordnung vorgesehenen Tätigkeiten zur Verfügung stehen.</w:t>
      </w:r>
    </w:p>
    <w:p>
      <w:r>
        <w:t>(3) Bei der Wahrnehmung ihrer Aufgaben gemäß dieser Verordnung arbeiten die zuständigen Behörden zusammen und gewähren dazu den zuständigen Behörden anderer Mitgliedstaaten notwendige und sachdienliche Unterstützung. Die zuständigen Behörden tauschen die geeigneten Informationen untereinander aus.</w:t>
      </w:r>
    </w:p>
    <w:p>
      <w:r>
        <w:t>(4) Auf begründeten Antrag leiten die zuständigen Behörden die in Artikel 123 genannten schriftlichen Aufzeichnungen und die in Artikel 127 genannten Kontrollberichte unverzüglich an die zuständigen Behörden anderer Mitgliedstaaten weiter.</w:t>
      </w:r>
    </w:p>
    <w:p>
      <w:pPr>
        <w:pStyle w:val="Heading2"/>
      </w:pPr>
      <w:r>
        <w:t>Artikel 138 Wissenschaftliche Gutachten für internationale Tiergesundheitsorganisationen</w:t>
      </w:r>
    </w:p>
    <w:p>
      <w:r>
        <w:t>(1) Die Agentur kann im Rahmen der Zusammenarbeit mit internationalen Tiergesundheitsorganisationen Gutachten für die Bewertung von Tierarzneimitteln abgeben, die ausschließlich für Märkte außerhalb der Union bestimmt sind. Zu diesem Zweck ist gemäß Artikel 8 ein Antrag an die Agentur zu richten. Die Agentur kann nach Konsultation der betreffenden Organisation ein wissenschaftliches Gutachten erstellen.</w:t>
      </w:r>
    </w:p>
    <w:p>
      <w:r>
        <w:t>(2) Die Agentur erstellt spezifische Verfahrensregeln für die Umsetzung von Absatz 1.</w:t>
      </w:r>
    </w:p>
    <w:p>
      <w:pPr>
        <w:pStyle w:val="Heading2"/>
      </w:pPr>
      <w:r>
        <w:t>Artikel 139 Ausschuss für Tierarzneimittel</w:t>
      </w:r>
    </w:p>
    <w:p>
      <w:r>
        <w:t>(1) In der Agentur wird ein Ausschuss für Tierarzneimittel (im Folgenden „Ausschuss“) eingesetzt.</w:t>
      </w:r>
    </w:p>
    <w:p>
      <w:r>
        <w:t>(2) Der Verwaltungsdirektor der Agentur oder sein Stellvertreter und die Vertreter der Kommission sind berechtigt, an allen Sitzungen des Ausschusses, der Arbeitsgruppen und der wissenschaftlichen Beratergruppen teilzunehmen.</w:t>
      </w:r>
    </w:p>
    <w:p>
      <w:r>
        <w:t>(3) Der Ausschuss kann ständige und nicht ständige Arbeitsgruppen einsetzen. Der Ausschuss kann für die Bewertung besonderer Arten von Tierarzneimitteln wissenschaftliche Beratergruppen einsetzen, denen er bestimmte Aufgaben im Zusammenhang mit der Erstellung der wissenschaftlichen Gutachten gemäß Artikel 141 Absatz 1 Buchstabe b übertragen kann.</w:t>
      </w:r>
    </w:p>
    <w:p>
      <w:r>
        <w:t>(4) Der Ausschuss setzt eine ständige Arbeitsgruppe ein, deren Aufgabe allein darin besteht, Unternehmen wissenschaftlich zu beraten. Der Verwaltungsdirektor richtet in Abstimmung mit dem Ausschuss die Verwaltungsstrukturen und -verfahren für die Beratung von Unternehmen gemäß Artikel 57 Absatz 1 Buchstabe n der Verordnung (EG) Nr. 726/2004 ein, insbesondere im Hinblick auf die Entwicklung von Tierarzneimitteln für neuartige Therapien.</w:t>
      </w:r>
    </w:p>
    <w:p>
      <w:r>
        <w:t>(5) Der Ausschuss setzt eine ständige Arbeitsgruppe für die Pharmakovigilanz ein, die u. a. für die Bewertung möglicher Pharmakovigilanz-Signale aus dem Pharmakovigilanz-System der Union zuständig ist, die in Artikel 79 genannten Optionen für das Risikomanagement dem Ausschuss und der Koordinierungsgruppe vorschlägt und die Kommunikation über die Pharmakovigilanz zwischen den zuständigen Behörden und der Agentur koordiniert.</w:t>
      </w:r>
    </w:p>
    <w:p>
      <w:r>
        <w:t>(6) Der Ausschuss gibt sich eine Geschäftsordnung. Diese sieht insbesondere Folgendes vor:</w:t>
      </w:r>
    </w:p>
    <w:p>
      <w:r>
        <w:t>a) die Verfahren zur Ernennung und Ablösung des Vorsitzenden;</w:t>
      </w:r>
    </w:p>
    <w:p>
      <w:r>
        <w:t>b) die Ernennung von Mitgliedern aller Arbeitsgruppen oder wissenschaftlichen Beratergruppen auf der Grundlage der Liste der akkreditierten Experten gemäß Artikel 62 Absatz 2 Unterabsatz 2 der Verordnung (EG) Nr. 726/2004 sowie die Verfahren für die Konsultation von Arbeitsgruppen und wissenschaftlichen Beratergruppen;</w:t>
      </w:r>
    </w:p>
    <w:p>
      <w:r>
        <w:t>c) ein Dringlichkeitsverfahren zur Annahme von Gutachten, vor allem im Zusammenhang mit den Bestimmungen dieser Verordnung über die Marktüberwachung und die Pharmakovigilanz.</w:t>
      </w:r>
    </w:p>
    <w:p>
      <w:r>
        <w:t>Die Geschäftsordnung tritt nach befürwortender Stellungnahme der Kommission und des Verwaltungsrates der Agentur in Kraft.</w:t>
      </w:r>
    </w:p>
    <w:p>
      <w:r>
        <w:t>(7) Das Sekretariat der Agentur unterstützt den Ausschuss in technischer, wissenschaftlicher und administrativer Hinsicht; es sorgt für Kohärenz und Qualität der Gutachten des Ausschusses und eine angemessene Koordinierung zwischen dem Ausschuss und anderen Ausschüssen der Agentur gemäß Artikel 56 der Verordnung (EG) Nr. 726/2004 und der Koordinierungsgruppe.</w:t>
      </w:r>
    </w:p>
    <w:p>
      <w:r>
        <w:t>(8) Die Gutachten des Ausschusses sind öffentlich zugänglich.</w:t>
      </w:r>
    </w:p>
    <w:p>
      <w:pPr>
        <w:pStyle w:val="Heading2"/>
      </w:pPr>
      <w:r>
        <w:t>Artikel 140 Mitglieder des Ausschusses</w:t>
      </w:r>
    </w:p>
    <w:p>
      <w:r>
        <w:t>(1) Jeder Mitgliedstaat ernennt, nach Konsultation des Verwaltungsrates, für einen verlängerbaren Zeitraum von drei Jahren ein Mitglied und ein stellvertretendes Mitglied für den Ausschuss. Die stellvertretenden Mitglieder vertreten die Mitglieder in deren Abwesenheit und stimmen für sie ab; ihnen kann auch die Aufgabe des Berichterstatters zugewiesen werden.</w:t>
      </w:r>
    </w:p>
    <w:p>
      <w:r>
        <w:t>(2) Die Mitglieder und stellvertretenden Mitglieder des Ausschusses werden aufgrund ihres einschlägigen Fachwissens und ihrer Erfahrung bei der wissenschaftlichen Bewertung von Tierarzneimitteln ausgewählt, damit die höchste fachliche Qualifikation und ein breites Spektrum an einschlägigem Fachwissen gewährleistet sind.</w:t>
      </w:r>
    </w:p>
    <w:p>
      <w:r>
        <w:t>(3) Ein Mitgliedstaat kann seine Aufgaben im Ausschuss einem anderen Mitgliedstaat übertragen. Ein Mitgliedstaat darf nicht mehr als einen anderen Mitgliedstaat vertreten.</w:t>
      </w:r>
    </w:p>
    <w:p>
      <w:r>
        <w:t>(4) Der Ausschuss kann maximal fünf zusätzliche Mitglieder kooptieren, die aufgrund ihrer spezifischen wissenschaftlichen Kompetenz ausgewählt werden. Diese Mitglieder werden für einen Zeitraum von drei Jahren ernannt und haben keine Stellvertreter; Wiederernennung ist zulässig.</w:t>
      </w:r>
    </w:p>
    <w:p>
      <w:r>
        <w:t>(5) Im Hinblick auf diese Kooptation ermittelt der Ausschuss die spezifische wissenschaftliche Komplementärkompetenz der zusätzlichen Mitglieder. Die kooptierten Mitglieder werden unter den von den Mitgliedstaaten oder der Agentur benannten Sachverständigen ausgewählt.</w:t>
      </w:r>
    </w:p>
    <w:p>
      <w:r>
        <w:t>(6) Der Ausschuss kann eines seiner Mitglieder als Berichterstatter bestellen, um seine Aufgaben nach Artikel 141 zu erfüllen. Der Ausschuss kann darüber hinaus ein zweites Mitglied zum Mitberichterstatter ernennen.</w:t>
      </w:r>
    </w:p>
    <w:p>
      <w:r>
        <w:t>(7) Die Mitglieder des Ausschusses können von Experten aus speziellen Bereichen von Wissenschaft oder Technik begleitet werden.</w:t>
      </w:r>
    </w:p>
    <w:p>
      <w:r>
        <w:t>(8) Die Mitglieder des Ausschusses und die mit der Bewertung von Tierarzneimitteln beauftragten Experten stützen sich auf die wissenschaftlichen Beurteilungen und Ressourcen, die den zuständigen Behörden zur Verfügung stehen. Jede zuständige Behörde überwacht und garantiert das wissenschaftliche Niveau und die Unabhängigkeit der durchgeführten Beurteilung; sie leistet einen geeigneten Beitrag zu den Aufgaben des Ausschusses und unterstützt die Tätigkeiten der ernannten Ausschussmitglieder und Experten. Zu diesem Zweck stellen die Mitgliedstaaten den von ihnen benannten Mitgliedern und Experten angemessene wissenschaftliche und technische Ressourcen zur Verfügung.</w:t>
      </w:r>
    </w:p>
    <w:p>
      <w:r>
        <w:t>(9) Die Mitgliedstaaten unterlassen es, den Ausschussmitgliedern und Experten Anweisungen zu geben, die mit ihren eigentlichen Aufgaben oder den Aufgaben des Ausschusses und den Pflichten der Agentur nicht vereinbar sind.</w:t>
      </w:r>
    </w:p>
    <w:p>
      <w:pPr>
        <w:pStyle w:val="Heading2"/>
      </w:pPr>
      <w:r>
        <w:t>Artikel 141 Aufgaben des Ausschusses</w:t>
      </w:r>
    </w:p>
    <w:p>
      <w:r>
        <w:t>(1) Der Ausschuss hat folgende Aufgaben:</w:t>
      </w:r>
    </w:p>
    <w:p>
      <w:r>
        <w:t>a) Er nimmt die ihm durch die vorliegende Verordnung und die Verordnung (EG) Nr. 726/2004 übertragenen Aufgaben wahr;</w:t>
      </w:r>
    </w:p>
    <w:p>
      <w:r>
        <w:t>b) er bereitet die wissenschaftlichen Gutachten der Agentur im Zusammenhang mit der Beurteilung und Anwendung von Tierarzneimitteln vor;</w:t>
      </w:r>
    </w:p>
    <w:p>
      <w:r>
        <w:t>c) auf Ersuchen des Verwaltungsdirektors der Agentur oder der Kommission arbeitet er Gutachten zu wissenschaftlichen Angelegenheiten betreffend die Beurteilung und Anwendung von Tierarzneimitteln aus;</w:t>
      </w:r>
    </w:p>
    <w:p>
      <w:r>
        <w:t>d) er arbeitet Gutachten der Agentur zu Fragen aus, die die Zulässigkeit von im zentralisierten Verfahren eingereichten Anträgen betreffen sowie zur Erteilung, Änderung, Aussetzung bzw. zum Ruhen oder zum Widerruf einer Zulassung für zentral zugelassene Tierarzneimittel;</w:t>
      </w:r>
    </w:p>
    <w:p>
      <w:r>
        <w:t>e) er berücksichtigt alle Ersuchen der Mitgliedstaaten um Erstellung eines wissenschaftlichen Gutachtens;</w:t>
      </w:r>
    </w:p>
    <w:p>
      <w:r>
        <w:t>f) er berät in wichtigen Fragen und Themen von allgemeiner wissenschaftlicher Natur;</w:t>
      </w:r>
    </w:p>
    <w:p>
      <w:r>
        <w:t>g) er gibt im Rahmen der Zusammenarbeit mit der Weltorganisation für Tiergesundheit wissenschaftliche Gutachten betreffend die Beurteilung bestimmter Tierarzneimittel ab, die ausschließlich für Märkte außerhalb der Union bestimmt sind;</w:t>
      </w:r>
    </w:p>
    <w:p>
      <w:r>
        <w:t>h) er berät über die maximalen Rückstandswerte von Tierarzneimitteln und von bei der Tierhaltung verwendeten Bioziden, die in Lebensmitteln tierischen Ursprungs gemäß der Verordnung (EG) Nr. 470/2009 zugelassen werden können;</w:t>
      </w:r>
    </w:p>
    <w:p>
      <w:r>
        <w:t>i) er gibt wissenschaftlichen Empfehlungen zur Anwendung von antimikrobiellen Wirkstoffen und Antiparasitika bei Tieren ab, um das Vorkommen von Resistenzen in der Union auf ein Minimum zu reduzieren und aktualisiert diese Empfehlungen erforderlichenfalls;</w:t>
      </w:r>
    </w:p>
    <w:p>
      <w:r>
        <w:t>j) er stellt den Mitgliedstaaten wissenschaftliche Gutachten zu Fragen, die dem Ausschuss vorgelegt werden, zur Verfügung.</w:t>
      </w:r>
    </w:p>
    <w:p>
      <w:r>
        <w:t>(2) Die Mitglieder des Ausschusses gewährleisten, dass die Aufgaben der Agentur und die Arbeit der zuständigen Behörden in geeigneter Weise koordiniert werden.</w:t>
      </w:r>
    </w:p>
    <w:p>
      <w:r>
        <w:t>(3) Bei der Ausarbeitung der Gutachten bemüht sich der Ausschuss nach Kräften, auf wissenschaftlicher Grundlage zu einem Konsens zu gelangen. Kann ein solcher Konsens nicht erreicht werden, so enthält das Gutachten den Standpunkt der Mehrheit der Mitglieder und die abweichenden Standpunkte, die jeweils mit einer Begründung versehen sind.</w:t>
      </w:r>
    </w:p>
    <w:p>
      <w:r>
        <w:t>(4) Wird um erneute Überprüfung eines Gutachtens ersucht, sofern diese Möglichkeit im Unionsrecht vorgesehen ist, so benennt der Ausschuss einen Berichterstatter und gegebenenfalls einen Mitberichterstatter; dabei muss es sich um andere als die für das Gutachten benannten Personen handeln. Im Rahmen des erneuten Überprüfungsverfahrens können nur diejenigen Punkte des Gutachtens behandelt werden, die der Antragsteller zuvor genannt hat, und nur die wissenschaftlichen Daten können berücksichtigt werden, die bei Annahme des Gutachtens durch den Ausschuss zur Verfügung standen. Der Antragsteller kann verlangen, dass der Ausschuss im Rahmen dieser erneuten Überprüfung eine wissenschaftliche Beratergruppe konsultiert.</w:t>
      </w:r>
    </w:p>
    <w:p>
      <w:pPr>
        <w:pStyle w:val="Heading2"/>
      </w:pPr>
      <w:r>
        <w:t>Artikel 142 Koordinierungsgruppe für die gegenseitige Anerkennung von Tierarzneimitteln und dezentralisierte Verfahren</w:t>
      </w:r>
    </w:p>
    <w:p>
      <w:r>
        <w:t>(1) Die Koordinierungsgruppe für die gegenseitige Anerkennung von Tierarzneimitteln und dezentralisierte Verfahren (im Folgenden „Koordinierungsgruppe“) wird eingesetzt.</w:t>
      </w:r>
    </w:p>
    <w:p>
      <w:r>
        <w:t>(2) Die Agentur stellt das Sekretariat für die Koordinierungsgruppe, das den Ablauf der Verfahren der Koordinierungsgruppe unterstützt und für die geeignete Verbindung zwischen dieser Gruppe, der Agentur und den Behörden sorgt.</w:t>
      </w:r>
    </w:p>
    <w:p>
      <w:r>
        <w:t>(3) Die Koordinierungsgruppe gibt sich eine Geschäftsordnung, die nach befürwortender Stellungnahme der Kommission in Kraft tritt. Diese Geschäftsordnung wird veröffentlicht.</w:t>
      </w:r>
    </w:p>
    <w:p>
      <w:r>
        <w:t>(4) Der Verwaltungsdirektor der Agentur oder sein Vertreter und die Vertreter der Kommission dürfen an allen Sitzungen der Koordinierungsgruppe teilnehmen.</w:t>
      </w:r>
    </w:p>
    <w:p>
      <w:r>
        <w:t>(5) Die Koordinierungsgruppe arbeitet eng mit den zuständigen Behörden und der Agentur zusammen.</w:t>
      </w:r>
    </w:p>
    <w:p>
      <w:pPr>
        <w:pStyle w:val="Heading2"/>
      </w:pPr>
      <w:r>
        <w:t>Artikel 143 Mitglieder der Koordinierungsgruppe</w:t>
      </w:r>
    </w:p>
    <w:p>
      <w:r>
        <w:t>(1) Die Koordinierungsgruppe setzt sich aus einem Vertreter je Mitgliedstaat zusammen, der für einen verlängerbaren Zeitraum von drei Jahren benannt wird. Die Mitgliedstaaten können einen Stellvertreter benennen. Die Mitglieder der Koordinierungsgruppe können sich von Experten begleiten lassen.</w:t>
      </w:r>
    </w:p>
    <w:p>
      <w:r>
        <w:t>(2) Bei der Erfüllung ihrer Aufgaben stützen sich die Mitglieder der Koordinierungsgruppe und die Experten auf die wissenschaftlichen Ressourcen und Regulierungsmittel ihrer zuständigen Behörden, auf einschlägige wissenschaftliche Bewertungen und auf die Empfehlungen des Ausschusses. Jede zuständige Behörde überwacht die Qualität der von ihrem Vertreter vorgenommenen Beurteilungen und unterstützt deren Tätigkeiten.</w:t>
      </w:r>
    </w:p>
    <w:p>
      <w:r>
        <w:t>(3) Die Mitglieder der Koordinierungsgruppe bemühen sich nach Kräften, zu einem Konsens in den zur Diskussion stehenden Angelegenheiten zu gelangen.</w:t>
      </w:r>
    </w:p>
    <w:p>
      <w:pPr>
        <w:pStyle w:val="Heading2"/>
      </w:pPr>
      <w:r>
        <w:t>Artikel 144 Aufgaben der Koordinierungsgruppe</w:t>
      </w:r>
    </w:p>
    <w:p>
      <w:r>
        <w:t>Die Koordinierungsgruppe hat folgende Aufgaben:</w:t>
      </w:r>
    </w:p>
    <w:p>
      <w:r>
        <w:t>a) Sie prüft Fragen betreffend die gegenseitige Anerkennung und dezentralisierte Verfahren;</w:t>
      </w:r>
    </w:p>
    <w:p>
      <w:r>
        <w:t>b) sie prüft die Empfehlungen der Arbeitsgruppe Pharmakovigilanz des Ausschusses zu Risikomanagementmaßnahmen für die Pharmakovigilanz im Bereich Tierarzneimittel, die in Mitgliedstaaten zugelassen sind, und gibt erforderlichenfalls Empfehlungen an die Mitgliedstaaten und die Zulassungsinhaber ab;</w:t>
      </w:r>
    </w:p>
    <w:p>
      <w:r>
        <w:t>c) sie prüft Fragen nach Änderungen in den von Mitgliedstaaten erteilten Zulassungen;</w:t>
      </w:r>
    </w:p>
    <w:p>
      <w:r>
        <w:t>d) sie gibt den Mitgliedstaaten Empfehlungen für die Entscheidung, ob ein bestimmtes Tierarzneimittel oder eine Gruppe von Tierarzneimitteln als Tierarzneimittel im Geltungsbereich dieser Verordnung zu betrachten ist;</w:t>
      </w:r>
    </w:p>
    <w:p>
      <w:r>
        <w:t>e) sie koordiniert die Auswahl der Leitbehörde, die für die Bewertung der Ergebnisse des in Artikel 81 Absatz 4 vorgesehenen Signalmanagementprozesses zuständig ist;</w:t>
      </w:r>
    </w:p>
    <w:p>
      <w:r>
        <w:t>f) sie erstellt und veröffentlicht gemäß Artikel 70 Absatz 3 jährlich eine Liste der Referenztierarzneimittel, deren Fachinformationen harmonisiert werden müssen.</w:t>
      </w:r>
    </w:p>
    <w:p>
      <w:pPr>
        <w:pStyle w:val="Heading1"/>
      </w:pPr>
      <w:r>
        <w:t>KAPITEL XI ALLGEMEINE BESTIMMUNGEN UND VERFAHRENSBESTIMMUNGEN</w:t>
      </w:r>
    </w:p>
    <w:p>
      <w:pPr>
        <w:pStyle w:val="Heading2"/>
      </w:pPr>
      <w:r>
        <w:t>Artikel 145 Ständiger Ausschuss für Tierarzneimittel</w:t>
      </w:r>
    </w:p>
    <w:p>
      <w:r>
        <w:t>(1) Die Kommission wird vom Ständigen Ausschuss für Tierarzneimittel (im Folgenden „ Ständiger Ausschuss“) unterstützt. Der Ständige Ausschuss ist ein Ausschuss im Sinne der Verordnung (EU) Nr. 182/2011.</w:t>
      </w:r>
    </w:p>
    <w:p>
      <w:r>
        <w:t>(2) Wird auf diesen Absatz Bezug genommen, so gilt Artikel 5 der Verordnung (EU) Nr. 182/2011.</w:t>
      </w:r>
    </w:p>
    <w:p>
      <w:pPr>
        <w:pStyle w:val="Heading2"/>
      </w:pPr>
      <w:r>
        <w:t>Artikel 146 Änderungen des Anhangs II</w:t>
      </w:r>
    </w:p>
    <w:p>
      <w:r>
        <w:t>(1) Die Kommission ist befugt, gemäß Artikel 147 Absatz 2 delegierte Rechtsakte zur Änderung von Anhang II zu erlassen, mit denen die Anforderungen im Hinblick auf die technischen Unterlagen zu Qualität, Sicherheit und Wirksamkeit von Tierarzneimitteln an den Fortschritt in Technik und Wissenschaft angepasst werden.</w:t>
      </w:r>
    </w:p>
    <w:p>
      <w:r>
        <w:t>(2) Die Kommission erlässt gemäß Artikel 147 Absatz 3 delegierte Rechtsakte zur Änderung des Anhang II, um ein ausreichendes Niveau der Detailliertheit zu erreichen, das Rechtsicherheit und Vereinheitlichung sicherstellt, sowie um nötige Aktualisierungen vorzunehmen, ohne die Kontinuität mit Anhang II, etwa im Hinblick auf die Einführung spezifischer Vorschriften für Tierarzneimittel für neuartige Therapien, zu gefährden. Beim Erlass dieser delegierten Rechtsakte berücksichtigt die Kommission gebührend Überlegungen zur öffentlichen und zur Tiergesundheit und zur Umwelt.</w:t>
      </w:r>
    </w:p>
    <w:p>
      <w:pPr>
        <w:pStyle w:val="Heading2"/>
      </w:pPr>
      <w:r>
        <w:t>Artikel 147 Ausübung der Befugnisübertragung</w:t>
      </w:r>
    </w:p>
    <w:p>
      <w:r>
        <w:t>(1) Die Befugnis zum Erlass delegierter Rechtsakte wird der Kommission unter den in diesem Artikel festgelegten Bedingungen übertragen.</w:t>
      </w:r>
    </w:p>
    <w:p>
      <w:r>
        <w:t>(2) Die Befugnis zum Erlass delegierter Rechtsakte gemäß Artikel 37 Absatz 4, Artikel 57 Absatz 3, Artikel 106 Absatz 6, Artikel 109 Absatz 1, Artikel 115 Absatz 3, Artikel 118 Absatz 2, Artikel 136 Absatz 7 sowie Artikel 146 Absätze 1 und 2 wird der Kommission mit Wirkung vom 27. Januar 2019 für einen Zeitraum von fünf Jahren übertragen. Die Kommission erstellt spätestens neun Monate vor Ablauf des Zeitraums von fünf Jahren einen Bericht über die Befugnisübertragung. Die Befugnisübertragung verlängert sich stillschweigend um Zeiträume gleicher Länge, es sei denn, das Europäische Parlament oder der Rat widersprechen einer solchen Verlängerung spätestens drei Monate vor Ablauf des jeweiligen Zeitraums.</w:t>
      </w:r>
    </w:p>
    <w:p>
      <w:r>
        <w:t>(3) Die Befugnis zum Erlass delegierter Rechtsakte gemäß Artikel 146 Absatz 2 wird der Kommission für einen Zeitraum vom 27. Januar 2019 bis 28. Januar 2022 übertragen.</w:t>
      </w:r>
    </w:p>
    <w:p>
      <w:r>
        <w:t>(4) Die Befugnisübertragung gemäß Artikel 37 Absatz 4, Artikel 57 Absatz 3, Artikel 106 Absatz 6, Artikel 109 Absatz 1, Artikel 115 Absatz 3, Artikel 118 Absatz 2, Artikel 136 Absatz 7 und Artikel 146 Absätze 1 und 2 kann vom Europäischen Parlament oder vom Rat jederzeit widerrufen werden. Der Beschluss über den Widerruf beendet die Übertragung der in diesem Beschluss angegebenen Befugnis. Er wird am Tag nach seiner Veröffentlichung im Amtsblatt der Europäischen Union oder zu einem im Beschluss über den Widerruf angegebenen späteren Zeitpunkt wirksam. Die Gültigkeit von delegierten Rechtsakten, die bereits in Kraft sind, wird von dem Beschluss über den Widerruf nicht berührt.</w:t>
      </w:r>
    </w:p>
    <w:p>
      <w:r>
        <w:t>(5) Vor dem Erlass eines delegierten Rechtsakts konsultiert die Kommission im Einklang mit den in der Interinstitutionellen Vereinbarung vom 13. April 2016 über bessere Rechtsetzung enthaltenen Grundsätzen die von den einzelnen Mitgliedstaaten benannten Sachverständigen.</w:t>
      </w:r>
    </w:p>
    <w:p>
      <w:r>
        <w:t>(6) Sobald die Kommission einen delegierten Rechtsakt erlässt, übermittelt sie ihn gleichzeitig dem Europäischen Parlament und dem Rat.</w:t>
      </w:r>
    </w:p>
    <w:p>
      <w:r>
        <w:t>(7) Ein delegierter Rechtsakt, der gemäß Artikel 37 Absatz 4, Artikel 57 Absatz 3, Artikel 106 Absatz 6, Artikel 109 Absatz 1, Artikel 115 Absatz 3, Artikel 118 Absatz 2, Artikel 136 Absatz 7 und Artikel 146 Absätze 1 und 2 erlassen wurde, tritt nur in Kraft, wenn weder das Europäische Parlament noch der Rat innerhalb einer Frist von zwei Monaten nach Übermittlung dieses Rechtsakts an das Europäische Parlament und den Rat Einwände erhoben haben oder wenn vor Ablauf dieser Frist das Europäische Parlament und der Rat beide der Kommission mitgeteilt haben, dass sie keine Einwände erheben werden. Auf Initiative des Europäischen Parlaments oder des Rates wird diese Frist um zwei Monate verlängert.</w:t>
      </w:r>
    </w:p>
    <w:p>
      <w:pPr>
        <w:pStyle w:val="Heading2"/>
      </w:pPr>
      <w:r>
        <w:t>Artikel 148 Datenschutz</w:t>
      </w:r>
    </w:p>
    <w:p>
      <w:r>
        <w:t>(1) Bei der Verarbeitung personenbezogener Daten im Rahmen der Durchführung dieser Verordnung wenden die Mitgliedstaaten die Verordnung (EU) 2016/679 des Europäischen Parlaments und des Rates an.</w:t>
      </w:r>
    </w:p>
    <w:p>
      <w:r>
        <w:t>(2) Bei der Verarbeitung personenbezogener Daten durch die Kommission und die Agentur im Rahmen der Durchführung dieser Verordnung gilt die Verordnung (EU) 2018/1725 des Europäischen Parlaments und des Rates.</w:t>
      </w:r>
    </w:p>
    <w:p>
      <w:pPr>
        <w:pStyle w:val="Heading1"/>
      </w:pPr>
      <w:r>
        <w:t>KAPITEL XII ÜBERGANGS- UND SCHLUSSBESTIMMUNGEN</w:t>
      </w:r>
    </w:p>
    <w:p>
      <w:pPr>
        <w:pStyle w:val="Heading2"/>
      </w:pPr>
      <w:r>
        <w:t>Artikel 149 Aufhebung</w:t>
      </w:r>
    </w:p>
    <w:p>
      <w:r>
        <w:t>Die Richtlinie 2001/82/EG wird aufgehoben.</w:t>
      </w:r>
    </w:p>
    <w:p>
      <w:r>
        <w:t>Bezugnahmen auf die aufgehobene Richtlinie gelten als Bezugnahmen auf diese Verordnung und sind nach Maßgabe der Entsprechungstabelle in Anhang IV zu lesen.</w:t>
      </w:r>
    </w:p>
    <w:p>
      <w:pPr>
        <w:pStyle w:val="Heading2"/>
      </w:pPr>
      <w:r>
        <w:t>Artikel 150 Verhältnis zu anderen Rechtsakten der Union</w:t>
      </w:r>
    </w:p>
    <w:p>
      <w:r>
        <w:t>(1) Diese Verordnung berührt nicht die Bestimmungen der Richtlinie 96/22/EG.</w:t>
      </w:r>
    </w:p>
    <w:p>
      <w:r>
        <w:t>(2) Die Verordnung (EG) Nr. 1234/2008 der Kommission gilt nicht für Tierarzneimittel, die die vorliegende Verordnung abdeckt.</w:t>
      </w:r>
    </w:p>
    <w:p>
      <w:r>
        <w:t>(3) Die Verordnung (EG) Nr. 658/2007 der Kommission gilt nicht für Tierarzneimittel, die die vorliegende Verordnung abdeckt.</w:t>
      </w:r>
    </w:p>
    <w:p>
      <w:pPr>
        <w:pStyle w:val="Heading2"/>
      </w:pPr>
      <w:r>
        <w:t>Artikel 151 Bereits validierte Anträge</w:t>
      </w:r>
    </w:p>
    <w:p>
      <w:r>
        <w:t>(1) Die Verfahren im Zusammenhang mit Anträgen auf Zulassung von Tierarzneimitteln oder Änderungen, die gemäß der Verordnung (EG) Nr. 726/2004 vor dem 28. Januar 2022 validiert wurden, werden gemäß der Verordnung (EG) Nr. 726/2004 abgeschlossen.</w:t>
      </w:r>
    </w:p>
    <w:p>
      <w:r>
        <w:t>(2) Die Verfahren im Zusammenhang mit Anträgen auf Zulassung von Tierarzneimitteln, die gemäß der Richtlinie 2001/82/EG vor dem 28. Januar 2022 validiert wurden, werden gemäß jener Richtlinie abgeschlossen.</w:t>
      </w:r>
    </w:p>
    <w:p>
      <w:r>
        <w:t>(3) Verfahren, die auf der Grundlage der Artikel 33, 34, 35, 39, 40 und 78 der Richtlinie 2001/82/EG vor dem 28. Januar 2022 eingeleitet werden, werden gemäß jener Richtlinie abgeschlossen.</w:t>
      </w:r>
    </w:p>
    <w:p>
      <w:pPr>
        <w:pStyle w:val="Heading2"/>
      </w:pPr>
      <w:r>
        <w:t>Artikel 152 Bestehende Tierarzneimittel, Zulassungen und Registrierungen</w:t>
      </w:r>
    </w:p>
    <w:p>
      <w:r>
        <w:t>(1) Zulassungen von Tierarzneimitteln und Registrierungen homöopathischer Tierarzneimittel, die gemäß der Richtlinie 2001/82/EG oder der Verordnung (EG) Nr. 726/2004 vor dem 28. Januar 2022 genehmigt werden, gelten als auf der Grundlage dieser Verordnung erteilt und unterliegen daher den einschlägigen Bestimmungen dieser Verordnung.</w:t>
      </w:r>
    </w:p>
    <w:p>
      <w:r>
        <w:t>Unterabsatz 1 des vorliegenden Absatzes gilt nicht für Zulassungen für Tierarzneimittel, die antimikrobielle Wirkstoffe enthalten, die gemäß den in Artikel 37 Absatz 5 genannten delegierten Rechtsakten für Behandlungen beim Menschen vorbehalten bleiben.</w:t>
      </w:r>
    </w:p>
    <w:p>
      <w:r>
        <w:t>(2) Gemäß der Richtlinie 2001/82/EG oder der Verordnung (EG) Nr. 726/2004 in Verkehr gebrachte Tierarzneimittel dürfen — auch wenn sie der vorliegenden Verordnung nicht entsprechen — ab dem 29. Januar 2027 noch fünf Jahre lang bereitgestellt werden.</w:t>
      </w:r>
    </w:p>
    <w:p>
      <w:r>
        <w:t>(3) Abweichend von Absatz 1 des vorliegenden Artikels gelten die Schutzzeiträume gemäß Artikel 39 nicht für Referenztierarzneimittel, die vor dem 28. Januar 2022 genehmigt wurden; stattdessen gelten für diese Referenztierarzneimittel weiterhin die entsprechenden Bestimmungen der in Absatz 1 des vorliegenden Artikels genannten aufgehobenen Rechtsakte.</w:t>
      </w:r>
    </w:p>
    <w:p>
      <w:pPr>
        <w:pStyle w:val="Heading2"/>
      </w:pPr>
      <w:r>
        <w:t>Artikel 153 Übergangsbestimmungen im Hinblick auf delegierte Rechtsakte und Durchführungsrechtsakte</w:t>
      </w:r>
    </w:p>
    <w:p>
      <w:r>
        <w:t>(1) Die in Artikel 118 Absatz 2 vorgesehenen delegierten Rechtsakte und die in Artikel 37 Absatz 5, Artikel 57 Absatz 4, Artikel 77 Absatz 6, Artikel 95 Absatz 8, Artikel 99 Absatz 6 und Artikel 104 Absatz 7 vorgesehenen Durchführungsrechtsakte sind vor dem 28. Januar 2022 zu erlassen. Diese delegierten Rechtsakte und Durchführungsrechtsakte gelten ab dem 28. Januar 2022.</w:t>
      </w:r>
    </w:p>
    <w:p>
      <w:r>
        <w:t>(2) Unbeschadet des Geltungsbeginns dieser Verordnung erlässt die Kommission die in Artikel 37 Absatz 4 vorgesehenen delegierten Rechtsakte spätestens am 27. September 2021. Diese delegierten Rechtsakte gelten ab dem 28. Januar 2022.</w:t>
      </w:r>
    </w:p>
    <w:p>
      <w:r>
        <w:t>(3) Unbeschadet des Geltungsbeginns dieser Verordnung erlässt die Kommission die in Artikel 57 Absatz 3 und Artikel 146 Absatz 2 vorgesehenen delegierten Rechtsakte und die in Artikel 55 Absatz 3 und Artikel 60 Absatz 1 vorgesehenen Durchführungsrechtsakte spätestens am 27. Januar 2021. Diese delegierten Rechtsakte und Durchführungsrechtsakte gelten ab dem 28. Januar 2022.</w:t>
      </w:r>
    </w:p>
    <w:p>
      <w:r>
        <w:t>(4) Unbeschadet des Geltungsbeginns dieser Verordnung erlässt die Kommission die in Artikel 109 Absatz 1 vorgesehenen delegierten Rechtsakte und die in Artikel 17 Absätze 2 und 3, Artikel 93 Absatz 2, Artikel 109 Absatz 2 und Artikel 115 Absatz 5 vorgesehenen Durchführungsrechtsakte spätestens am 29. Januar 2025. Diese delegierten Rechtsakte und Durchführungsrechtsakte gelten frühestens am dem 28. Januar 2022.</w:t>
      </w:r>
    </w:p>
    <w:p>
      <w:r>
        <w:t>(5) Unbeschadet des Geltungsbeginns dieser Verordnung ist die Kommission befugt, ab dem 27. Januar 2019 delegierte Rechtsakte und Durchführungsrechtsakte zu erlassen. Diese delegierten Rechtsakte und Durchführungsrechtsakte gelten — sofern in dieser Verordnung nichts anderes vorgesehen ist — ab dem 28. Januar 2022.</w:t>
      </w:r>
    </w:p>
    <w:p>
      <w:r>
        <w:t>Beim Erlass der in diesem Artikel vorgesehenen delegierten Rechtsakte und Durchführungsrechtsakte sorgt die Kommission dafür, dass zwischen dem Erlass und dem Geltungsbeginn genügend Zeit verbleit.</w:t>
      </w:r>
    </w:p>
    <w:p>
      <w:pPr>
        <w:pStyle w:val="Heading2"/>
      </w:pPr>
      <w:r>
        <w:t>Artikel 154 Erstellung der Pharmakovigilanz-Datenbank und der Herstellungs- und Großhandelsvertriebsdatenbank</w:t>
      </w:r>
    </w:p>
    <w:p>
      <w:r>
        <w:t>Unbeschadet des Geltungsbeginns dieser Verordnung sorgt die Agentur gemäß den Artikeln 74 und 91 gemeinsam mit den Mitgliedstaaten und der Kommission dafür, dass bis spätestens zum 28. Januar 2022 die Pharmakovigilanz-Datenbank und die Herstellungs- und Großhandelsvertriebsdatenbank erstellt werden.</w:t>
      </w:r>
    </w:p>
    <w:p>
      <w:pPr>
        <w:pStyle w:val="Heading2"/>
      </w:pPr>
      <w:r>
        <w:t>Artikel 155 Beitrag der zuständigen Behörde zur Erstellung der Produktdatenbank</w:t>
      </w:r>
    </w:p>
    <w:p>
      <w:r>
        <w:t>Spätestens zum 28. Januar 2022 übermitteln die zuständigen Behörden der Agentur auf elektronischem Wege — unter Verwendung des in Artikel 55 Absatz 3 Buchstabe a genannten Formats — Informationen über alle Tierarzneimittel, die zu dieser Zeit in ihrem Mitgliedstaat zugelassen sind.</w:t>
      </w:r>
    </w:p>
    <w:p>
      <w:pPr>
        <w:pStyle w:val="Heading2"/>
      </w:pPr>
      <w:r>
        <w:t>Artikel 156 Prüfung der Vorschriften für die Umweltverträglichkeitsprüfung</w:t>
      </w:r>
    </w:p>
    <w:p>
      <w:r>
        <w:t>Spätestens zum 28. Januar 2022 legt die Kommission dem Europäischen Parlament und dem Rat einen Bericht über eine Studie vor, in dem die Durchführbarkeit eines wirkstoffbasierten Prüfungssystems (im Folgenden „Monographie“) und anderer denkbarer Alternativen zur Umweltverträglichkeitsprüfung von Tierarzneimitteln bewertet wird, den sie bei Bedarf mit einem Legislativvorschlag flankiert.</w:t>
      </w:r>
    </w:p>
    <w:p>
      <w:pPr>
        <w:pStyle w:val="Heading2"/>
      </w:pPr>
      <w:r>
        <w:t>Artikel 157 Bericht der Kommission über traditionelle pflanzliche Erzeugnisse zur Behandlung von Tieren</w:t>
      </w:r>
    </w:p>
    <w:p>
      <w:r>
        <w:t>Die Kommission legt dem Europäischen Parlament und dem Rat bis zum 29. Januar 2027 einen Bericht über traditionelle pflanzliche Erzeugnisse zur Behandlung von Tieren in der Union vor. Die Kommission legt gegebenenfalls einen Legislativvorschlag vor, um ein vereinfachtes System für die Registrierung traditioneller pflanzlicher Erzeugnisse zur Behandlung von Tieren einzuführen.</w:t>
      </w:r>
    </w:p>
    <w:p>
      <w:r>
        <w:t>Die Mitgliedstaaten übermittelten der Kommission Informationen über solche traditionelle pflanzliche Erzeugnisse in ihrem Hoheitsgebiet.</w:t>
      </w:r>
    </w:p>
    <w:p>
      <w:pPr>
        <w:pStyle w:val="Heading2"/>
      </w:pPr>
      <w:r>
        <w:t>Artikel 158 Prüfung der Maßnahmen im Hinblick auf Equiden</w:t>
      </w:r>
    </w:p>
    <w:p>
      <w:r>
        <w:t>Spätestens zum 29. Januar 2025 legt die Kommission dem Europäischen Parlament und dem Rat eine Bewertung der Lage hinsichtlich der Behandlung von Equiden mit Arzneimitteln und ihres Ausschlusses aus der Lebensmittelkette, etwa im Hinblick auf die Einfuhr von Equiden aus Drittländern vor, der auch angemessene Maßnahmen seitens der Kommission umfasst, wobei das Hauptaugenmerk auf der öffentlichen Gesundheit, dem Wohlergehen von Tieren, dem Betrugsrisiko und gleichen Wettbewerbsbedingungen im Vergleich zu Drittländern liegt.</w:t>
      </w:r>
    </w:p>
    <w:p>
      <w:pPr>
        <w:pStyle w:val="Heading2"/>
      </w:pPr>
      <w:r>
        <w:t>Artikel 159 Übergangsbestimmungen im Hinblick auf bestimmte Zertifikate über die gute Herstellungspraxis</w:t>
      </w:r>
    </w:p>
    <w:p>
      <w:r>
        <w:t>Unbeschadet des Geltungsbeginns dieser Verordnung gelten die Auflagen im Hinblick auf Zertifikate über die gute Herstellungspraxis für inaktivierte immunologische Tierarzneimittel, die aus pathogenen Organismen und Antigenen, die aus einem oder mehreren, zu einer epidemiologischen Einheit gehörenden, Tier oder Tieren, isoliert werden und für die Behandlung dieses Tieres oder dieser Tiere derselben epidemiologischen Einheit oder für die Behandlung von einem Tier oder Tieren einer Einheit mit einer gesicherten epidemiologischen Verbindung angewendet werden, erst ab dem Geltungsbeginn der Durchführungsrechtsakte, in denen konkrete Maßnahmen im Hinblick auf gute Herstellungspraxis für die in Artikel 93 Absatz 2 genannten Tierarzneimittel festgelegt sind.</w:t>
      </w:r>
    </w:p>
    <w:p>
      <w:pPr>
        <w:pStyle w:val="Heading2"/>
      </w:pPr>
      <w:r>
        <w:t>Artikel 160 Inkrafttreten und Anwendung</w:t>
      </w:r>
    </w:p>
    <w:p>
      <w:r>
        <w:t>Diese Verordnung tritt am zwanzigsten Tag nach ihrer Veröffentlichung im Amtsblatt der Europäischen Union in Kraft.</w:t>
      </w:r>
    </w:p>
    <w:p>
      <w:r>
        <w:t>Sie gilt ab dem 28. Januar 2022.</w:t>
      </w:r>
    </w:p>
    <w:p>
      <w:r>
        <w:t>Diese Verordnung ist in allen ihren Teilen verbindlich und gilt unmittelbar in jedem Mitgliedstaat.</w:t>
      </w:r>
    </w:p>
    <w:p>
      <w:r>
        <w:t>Geschehen zu Straßburg am 11. Dezember 2018.</w:t>
      </w:r>
    </w:p>
    <w:p>
      <w:pPr>
        <w:pStyle w:val="Heading1"/>
      </w:pPr>
      <w:r>
        <w:t>ANHANG I</w:t>
      </w:r>
    </w:p>
    <w:p>
      <w:pPr>
        <w:pStyle w:val="Heading2"/>
      </w:pPr>
      <w:r>
        <w:t>INFORMATIONEN GEMÄß ARTIKEL 8 ABSATZ 1 BUCHSTABE A</w:t>
      </w:r>
    </w:p>
    <w:p>
      <w:r>
        <w:rPr>
          <w:b/>
        </w:rPr>
        <w:t>Tabelle (zeilenweise wiedergegeben):</w:t>
      </w:r>
    </w:p>
    <w:p>
      <w:pPr>
        <w:pStyle w:val="ListBullet"/>
      </w:pPr>
      <w:r>
        <w:t>1. | Rechtsgrundlage für Anträge auf Marktzulassung</w:t>
      </w:r>
    </w:p>
    <w:p>
      <w:pPr>
        <w:pStyle w:val="ListBullet"/>
      </w:pPr>
      <w:r>
        <w:t>2. | Antragsteller</w:t>
      </w:r>
    </w:p>
    <w:p>
      <w:pPr>
        <w:pStyle w:val="ListBullet"/>
      </w:pPr>
      <w:r>
        <w:t>2.1. | Name oder Firma und ständige Anschrift oder eingetragene Niederlassung des Antragstellers</w:t>
      </w:r>
    </w:p>
    <w:p>
      <w:pPr>
        <w:pStyle w:val="ListBullet"/>
      </w:pPr>
      <w:r>
        <w:t>2.2. | Name oder Firma und ständige Anschrift oder eingetragene Niederlassung des Herstellers/der Hersteller oder des Einführers/der Einführer des Fertigtierarzneimittels s und Name oder Unternehmensname und ständige Adresse oder Sitz des Unternehmens des Herstellers des Wirkstoffs/der Wirkstoffe</w:t>
      </w:r>
    </w:p>
    <w:p>
      <w:pPr>
        <w:pStyle w:val="ListBullet"/>
      </w:pPr>
      <w:r>
        <w:t>2.3. | Name und Anschrift der Standorte, die in die verschiedenen Stufen der Herstellung, Einfuhr, Prüfung und Chargenfreigabe einbezogen sind</w:t>
      </w:r>
    </w:p>
    <w:p>
      <w:pPr>
        <w:pStyle w:val="ListBullet"/>
      </w:pPr>
      <w:r>
        <w:t>3. | Identifizierung des Tierarzneimittels</w:t>
      </w:r>
    </w:p>
    <w:p>
      <w:pPr>
        <w:pStyle w:val="ListBullet"/>
      </w:pPr>
      <w:r>
        <w:t>3.1. | Name des Tierarzneimittels und anatomisch-therapeutisch-chemikalischer Veterinärcode („ATCvet-Code“)</w:t>
      </w:r>
    </w:p>
    <w:p>
      <w:pPr>
        <w:pStyle w:val="ListBullet"/>
      </w:pPr>
      <w:r>
        <w:t>3.2. | Wirkstoff(e) und, gegebenenfalls, Verdünnungsmittel</w:t>
      </w:r>
    </w:p>
    <w:p>
      <w:pPr>
        <w:pStyle w:val="ListBullet"/>
      </w:pPr>
      <w:r>
        <w:t>3.3. | Stärke, bzw. bei immunologischen Tierarzneimitteln biologische Aktivität, Potenz oder Titer</w:t>
      </w:r>
    </w:p>
    <w:p>
      <w:pPr>
        <w:pStyle w:val="ListBullet"/>
      </w:pPr>
      <w:r>
        <w:t>3.4. | Darreichungsform</w:t>
      </w:r>
    </w:p>
    <w:p>
      <w:pPr>
        <w:pStyle w:val="ListBullet"/>
      </w:pPr>
      <w:r>
        <w:t>3.5. | Verabreichungsweg</w:t>
      </w:r>
    </w:p>
    <w:p>
      <w:pPr>
        <w:pStyle w:val="ListBullet"/>
      </w:pPr>
      <w:r>
        <w:t>3.6. | Zieltierarten</w:t>
      </w:r>
    </w:p>
    <w:p>
      <w:pPr>
        <w:pStyle w:val="ListBullet"/>
      </w:pPr>
      <w:r>
        <w:t>4. | Informationen zu Herstellung und Pharmakovigilanz</w:t>
      </w:r>
    </w:p>
    <w:p>
      <w:pPr>
        <w:pStyle w:val="ListBullet"/>
      </w:pPr>
      <w:r>
        <w:t>4.1. | Nachweis einer Herstellungserlaubnis oder Zertifikat über die gute Herstellungspraxis</w:t>
      </w:r>
    </w:p>
    <w:p>
      <w:pPr>
        <w:pStyle w:val="ListBullet"/>
      </w:pPr>
      <w:r>
        <w:t>4.2. | Bezugsnummer der Pharmakovigilanz-Stammdokumentation</w:t>
      </w:r>
    </w:p>
    <w:p>
      <w:pPr>
        <w:pStyle w:val="ListBullet"/>
      </w:pPr>
      <w:r>
        <w:t>5. | Tierarzneimittelinformationen</w:t>
      </w:r>
    </w:p>
    <w:p>
      <w:pPr>
        <w:pStyle w:val="ListBullet"/>
      </w:pPr>
      <w:r>
        <w:t>5.1. | Vorgeschlagene Fachinformation (Zusammenfassung der Merkmale des Tierarzneimittels), erstellt gemäß Artikel 35</w:t>
      </w:r>
    </w:p>
    <w:p>
      <w:pPr>
        <w:pStyle w:val="ListBullet"/>
      </w:pPr>
      <w:r>
        <w:t>5.2. | Beschreibung der endgültigen Aufmachung des Tierarzneimittels, einschließlich Verpackung und Kennzeichnung</w:t>
      </w:r>
    </w:p>
    <w:p>
      <w:pPr>
        <w:pStyle w:val="ListBullet"/>
      </w:pPr>
      <w:r>
        <w:t>5.3. | Vorgeschlagener Wortlaut der Angaben, die auf der Primärverpackung, der äußeren Umhüllung und der Packungsbeilage zu machen sind, gemäß den Artikeln 10 bis 16</w:t>
      </w:r>
    </w:p>
    <w:p>
      <w:pPr>
        <w:pStyle w:val="ListBullet"/>
      </w:pPr>
      <w:r>
        <w:t>6. | Sonstige Informationen</w:t>
      </w:r>
    </w:p>
    <w:p>
      <w:pPr>
        <w:pStyle w:val="ListBullet"/>
      </w:pPr>
      <w:r>
        <w:t>6.1. | Liste der Länder, in denen eine Zulassung (Genehmigung für das Inverkehrbringen) für das Tierarzneimittel erteilt oder widerrufen wurde</w:t>
      </w:r>
    </w:p>
    <w:p>
      <w:pPr>
        <w:pStyle w:val="ListBullet"/>
      </w:pPr>
      <w:r>
        <w:t>6.2. | Kopien aller Fachinformationen entsprechend den von den Mitgliedstaaten erteilten Zulassungen</w:t>
      </w:r>
    </w:p>
    <w:p>
      <w:pPr>
        <w:pStyle w:val="ListBullet"/>
      </w:pPr>
      <w:r>
        <w:t>6.3. | Liste der Länder, in denen ein Antrag gestellt oder abgelehnt wurde</w:t>
      </w:r>
    </w:p>
    <w:p>
      <w:pPr>
        <w:pStyle w:val="ListBullet"/>
      </w:pPr>
      <w:r>
        <w:t>6.4. | Liste der Mitgliedstaaten, in denen das Tierarzneimittel in Verkehr gebracht werden soll</w:t>
      </w:r>
    </w:p>
    <w:p>
      <w:pPr>
        <w:pStyle w:val="ListBullet"/>
      </w:pPr>
      <w:r>
        <w:t>6.5. | Kritische Expertenberichte über Qualität, Sicherheit und Wirksamkeit des Tierarzneimittels</w:t>
      </w:r>
    </w:p>
    <w:p>
      <w:pPr>
        <w:pStyle w:val="Heading1"/>
      </w:pPr>
      <w:r>
        <w:t>ANHANG II</w:t>
      </w:r>
    </w:p>
    <w:p>
      <w:pPr>
        <w:pStyle w:val="Heading1"/>
      </w:pPr>
      <w:r>
        <w:t>ANHANG II (Fortsetzung)</w:t>
      </w:r>
    </w:p>
    <w:p>
      <w:pPr>
        <w:pStyle w:val="Heading2"/>
      </w:pPr>
      <w:r>
        <w:t>ANFORDERUNGEN GEMÄß ARTIKEL 8 ABSATZ 1 BUCHSTABE B</w:t>
      </w:r>
    </w:p>
    <w:p>
      <w:pPr>
        <w:pStyle w:val="Heading1"/>
      </w:pPr>
      <w:r>
        <w:t>ANHANG II (Fortsetzung)</w:t>
      </w:r>
    </w:p>
    <w:p>
      <w:pPr>
        <w:pStyle w:val="Heading2"/>
      </w:pPr>
      <w:r>
        <w:t>EINLEITUNG UND ALLGEMEINE GRUNDLAGEN</w:t>
      </w:r>
    </w:p>
    <w:p>
      <w:r>
        <w:rPr>
          <w:b/>
        </w:rPr>
        <w:t>Tabelle (zeilenweise wiedergegeben):</w:t>
      </w:r>
    </w:p>
    <w:p>
      <w:pPr>
        <w:pStyle w:val="ListBullet"/>
      </w:pPr>
      <w:r>
        <w:t>(1) | Die Angaben und Unterlagen, die einem Genehmigungsantrag gemäß Artikel 12 bis Artikel 13d beiliegen müssen, sind entsprechend den Anforderungen dieses Anhangs vorzulegen und müssen sich an den Leitlinien orientieren, die die Kommission unter folgendem Titel veröffentlicht hat: Regelung der Arzneimittel in der Europäischen Union, Band 6 B, Mitteilung an die Antragsteller, Tierarzneimittel, Struktur und Inhalt des Antrags.</w:t>
      </w:r>
    </w:p>
    <w:p>
      <w:pPr>
        <w:pStyle w:val="ListBullet"/>
      </w:pPr>
      <w:r>
        <w:t>(2) | Bei der Zusammenstellung des Antragsdossiers müssen die Antragsteller auch den derzeitigen Wissensstand der Veterinärmedizin und die wissenschaftlichen Leitlinien für die Qualität, Unbedenklichkeit und Wirksamkeit von Tierarzneimitteln berücksichtigen, die von der Europäischen Arzneimittel-Agentur (im Folgenden „Agentur“) veröffentlicht wurden, sowie die übrigen Leitlinien der Gemeinschaft im Arzneimittelbereich, die die Kommission in den einzelnen Bänden der Regelung der Arzneimittel in der Europäischen Union herausgegeben hat.</w:t>
      </w:r>
    </w:p>
    <w:p>
      <w:pPr>
        <w:pStyle w:val="ListBullet"/>
      </w:pPr>
      <w:r>
        <w:t>(3) | Bei Tierarzneimitteln, die nicht zu den immunologischen Tierarzneimitteln gehören, sind für den qualitätsbezogenen (pharmazeutischen) Teil (physikalisch-chemische, biologische und mikrobiologische Prüfungen) des Dossiers alle einschlägigen Monographien einschließlich der allgemeinen Monographien und Kapitel des Europäischen Arzneibuchs maßgeblich. Bei immunologischen Tierarzneimitteln sind für die Dossierteile Qualität, Unbedenklichkeit und Wirksamkeit alle einschlägigen Monographien einschließlich der allgemeinen Monographien und Kapitel des Europäischen Arzneibuchs maßgeblich.</w:t>
      </w:r>
    </w:p>
    <w:p>
      <w:pPr>
        <w:pStyle w:val="ListBullet"/>
      </w:pPr>
      <w:r>
        <w:t>(4) | Beim Herstellungsprozess sind die Anforderungen der Richtlinie 91/412/EWG der Kommission zur Festlegung der Grundsätze und Leitlinien der Guten Herstellungspraxis für Tierarzneimittel sowie die Grundsätze und Leitlinien der Guten Herstellungspraxis einzuhalten, die die Kommission in Band 4 der Regelung der Arzneimittel in der Europäischen Union veröffentlicht hat.</w:t>
      </w:r>
    </w:p>
    <w:p>
      <w:pPr>
        <w:pStyle w:val="ListBullet"/>
      </w:pPr>
      <w:r>
        <w:t>(5) | Dem Antrag sind alle für die Bewertung des betreffenden Tierarzneimittels zweckdienlichen Angaben beizufügen, ob diese nun günstig oder ungünstig für das Arzneimittel sind. Insbesondere sind alle zweckdienlichen Einzelheiten über etwaige unvollständige oder abgebrochene Versuche bzw. Prüfungen mit dem Tierarzneimittel vorzulegen.</w:t>
      </w:r>
    </w:p>
    <w:p>
      <w:pPr>
        <w:pStyle w:val="ListBullet"/>
      </w:pPr>
      <w:r>
        <w:t>(6) | Pharmakologische, toxikologische sowie Rückstands- und Unbedenklichkeitsprüfungen sind nach den Bestimmungen der Guten Laborpraxis (GLP) durchzuführen, die in der Richtlinie 2004/10/EG des Europäischen Parlaments und des Rates und in der Richtlinie 2004/9/EG des Europäischen Parlaments und des Rates festgelegt sind.</w:t>
      </w:r>
    </w:p>
    <w:p>
      <w:pPr>
        <w:pStyle w:val="ListBullet"/>
      </w:pPr>
      <w:r>
        <w:t>(7) | Die Mitgliedstaaten gewährleisten zudem, dass alle Experimente an Tieren gemäß der Richtlinie 86/609/EWG des Rates durchgeführt werden.</w:t>
      </w:r>
    </w:p>
    <w:p>
      <w:pPr>
        <w:pStyle w:val="ListBullet"/>
      </w:pPr>
      <w:r>
        <w:t>(8) | Zwecks Überwachung der Nutzen-Risiko-Beurteilung sind der zuständigen Behörde alle neuen Informationen, die nicht im ursprünglichen Antrag enthalten sind, sowie alle Informationen aus der Pharmakovigilanz vorzulegen. Nach Genehmigungserteilung ist den zuständigen Behörden gemäß den Verordnungen (EG) Nr. 1084/2003 der Kommission oder (EG) Nr. 1085/2003 der Kommission jede inhaltliche Änderung von Dossiers für Tierarzneimittel vorzulegen, die auf der Grundlage von Artikel 1 dieser Verordnungen genehmigt wurden.</w:t>
      </w:r>
    </w:p>
    <w:p>
      <w:pPr>
        <w:pStyle w:val="ListBullet"/>
      </w:pPr>
      <w:r>
        <w:t>(9) | Das Dossier muss die Umweltverträglichkeitsprüfung in Verbindung mit der Freisetzung von Tierarzneimitteln umfassen, die genetisch veränderte Organismen (GVO) im Sinne von Artikel 2 der Richtlinie 2001/18/EG des Europäischen Parlaments und des Rates enthalten bzw. aus solchen bestehen. Diese Angaben sind entsprechend den Bestimmungen der Richtlinie 2001/18/EG und der Verordnung (EG) Nr. 726/2004 des Europäischen Parlaments und des Rates zu machen, und es sind dabei sämtliche von der Kommission veröffentlichten Leitfäden zu beachten.</w:t>
      </w:r>
    </w:p>
    <w:p>
      <w:pPr>
        <w:pStyle w:val="ListBullet"/>
      </w:pPr>
      <w:r>
        <w:t>(10) | Bei Anträgen auf Genehmigung des Inverkehrbringens von Tierarzneimitteln, die für Tierarten und Indikationen bestimmt sind, die nur kleinere Marktsegmente darstellen, ist ein flexibleres Vorgehen zulässig. In solchen Fällen sollten die einschlägigen wissenschaftlichen Leitlinien und/oder Gutachten berücksichtigt werden. Der vorliegende Anhang ist in vier Titel untergliedert: Titel I dieses Anhangs enthält die einheitlichen Vorschriften für Anträge auf Genehmigung nicht immunologischer Tierarzneimittel. Titel II enthält die einheitlichen Vorschriften für Anträge auf Genehmigung immunologischer Tierarzneimittel. Titel III enthält eine Beschreibung bestimmter Arten von Genehmigungsdossiers samt den dazugehörigen Vorschriften. Titel IV enthält die Vorschriften für die Dossiers von Genehmigungsanträgen für besondere Arten von Tierarzneimitteln.</w:t>
      </w:r>
    </w:p>
    <w:p>
      <w:pPr>
        <w:pStyle w:val="Heading1"/>
      </w:pPr>
      <w:r>
        <w:t>ANHANG II (Fortsetzung)</w:t>
      </w:r>
    </w:p>
    <w:p>
      <w:pPr>
        <w:pStyle w:val="Heading2"/>
      </w:pPr>
      <w:r>
        <w:t>TITEL I</w:t>
      </w:r>
    </w:p>
    <w:p>
      <w:pPr>
        <w:pStyle w:val="Heading1"/>
      </w:pPr>
      <w:r>
        <w:t>ANHANG II (Fortsetzung)</w:t>
      </w:r>
    </w:p>
    <w:p>
      <w:pPr>
        <w:pStyle w:val="Heading2"/>
      </w:pPr>
      <w:r>
        <w:t>Vorschriften für nicht immunologische tierarzneimittel</w:t>
      </w:r>
    </w:p>
    <w:p>
      <w:r>
        <w:t>Die nachstehenden Vorschriften gelten für Tierarzneimittel, bei denen es sich nicht um immunologische Tierarzneimittel handelt, sofern in Titel III nicht anders vorgesehen.</w:t>
      </w:r>
    </w:p>
    <w:p>
      <w:pPr>
        <w:pStyle w:val="Heading1"/>
      </w:pPr>
      <w:r>
        <w:t>ANHANG II (Fortsetzung)</w:t>
      </w:r>
    </w:p>
    <w:p>
      <w:pPr>
        <w:pStyle w:val="Heading2"/>
      </w:pPr>
      <w:r>
        <w:t>TEIL 1</w:t>
      </w:r>
    </w:p>
    <w:p>
      <w:pPr>
        <w:pStyle w:val="Heading1"/>
      </w:pPr>
      <w:r>
        <w:t>ANHANG II (Fortsetzung)</w:t>
      </w:r>
    </w:p>
    <w:p>
      <w:pPr>
        <w:pStyle w:val="Heading2"/>
      </w:pPr>
      <w:r>
        <w:t>Zusammenfassung der unterlagen</w:t>
      </w:r>
    </w:p>
    <w:p>
      <w:pPr>
        <w:pStyle w:val="Heading1"/>
      </w:pPr>
      <w:r>
        <w:t>ANHANG II (Fortsetzung)</w:t>
      </w:r>
    </w:p>
    <w:p>
      <w:pPr>
        <w:pStyle w:val="Heading2"/>
      </w:pPr>
      <w:r>
        <w:t>A. ADMINISTRATIVE ANGABEN</w:t>
      </w:r>
    </w:p>
    <w:p>
      <w:r>
        <w:t>Für das Tierarzneimittel, auf das sich der Antrag bezieht, sind der Name, der Name der Wirkstoffe sowie die Stärke, die Darreichungsform sowie die Art und Form der Anwendung anzugeben (siehe Artikel 12 Absatz 3 Buchstabe f der Richtlinie); ferner ist eine Beschreibung der endgültigen Aufmachung des Arzneimittels einschließlich Verpackung, Etikettierung und Packungsbeilage (siehe Artikel 12 Absatz 3 Buchstabe l der Richtlinie) vorzulegen.</w:t>
      </w:r>
    </w:p>
    <w:p>
      <w:r>
        <w:t>Es sind der Name und die Anschrift des Antragstellers, der Name und die Anschrift der Hersteller und der Standorte, an denen die einzelnen Phasen von Herstellung, Prüfung und Freigabe erfolgt sind (einschließlich des Herstellers des Fertigprodukts und der Hersteller der Wirkstoffe), sowie gegebenenfalls der Name und die Anschrift des Importeurs anzugeben.</w:t>
      </w:r>
    </w:p>
    <w:p>
      <w:r>
        <w:t>Der Antragsteller muss die Anzahl und Titel der mit dem Antrag eingereichten Unterlagen sowie die gegebenenfalls vorgelegten Muster angeben.</w:t>
      </w:r>
    </w:p>
    <w:p>
      <w:r>
        <w:t>Den administrativen Angaben ist ein Beleg beizufügen, dass der Hersteller berechtigt ist, die betreffenden Tierarzneimittel gemäß der Definition in Artikel 44 herzustellen, ein Verzeichnis der Länder, in denen eine Genehmigung erteilt wurde, Kopien aller Zusammenfassungen der Merkmale des Tierarzneimittels gemäß Artikel 14 in der von den Mitgliedstaaten gebilligten Form sowie ein Verzeichnis der Länder, in denen ein Antrag eingereicht oder abgelehnt wurde.</w:t>
      </w:r>
    </w:p>
    <w:p>
      <w:pPr>
        <w:pStyle w:val="Heading1"/>
      </w:pPr>
      <w:r>
        <w:t>ANHANG II (Fortsetzung)</w:t>
      </w:r>
    </w:p>
    <w:p>
      <w:pPr>
        <w:pStyle w:val="Heading2"/>
      </w:pPr>
      <w:r>
        <w:t>B. ZUSAMMENFASSUNG DER MERKMALE DES TIERARZNEIMITTELS, ETIKETTIERUNG UND PACKUNGSBEILAGE</w:t>
      </w:r>
    </w:p>
    <w:p>
      <w:r>
        <w:t>Der Antragsteller muss eine Zusammenfassung der Merkmale des Tierarzneimittels gemäß Artikel 14 dieser Richtlinie vorschlagen.</w:t>
      </w:r>
    </w:p>
    <w:p>
      <w:r>
        <w:t>Für die Beschriftung der Primärverpackung und der äußeren Umhüllung sowie für die Packungsbeilage, falls eine solche gemäß Artikel 61 erforderlich ist, ist gemäß Titel V dieser Richtlinie ein Textvorschlag vorzulegen. Zusätzlich muss der Antragsteller ein oder mehrere Muster oder Modelle der endgültigen Aufmachung(en) des Tierarzneimittels in mindestens einer Amtssprache der Europäischen Union vorlegen; das Modell kann nach vorheriger Zustimmung der zuständigen Behörde auf elektronischem Wege und in schwarz-weiß vorgelegt werden.</w:t>
      </w:r>
    </w:p>
    <w:p>
      <w:pPr>
        <w:pStyle w:val="Heading1"/>
      </w:pPr>
      <w:r>
        <w:t>ANHANG II (Fortsetzung)</w:t>
      </w:r>
    </w:p>
    <w:p>
      <w:pPr>
        <w:pStyle w:val="Heading2"/>
      </w:pPr>
      <w:r>
        <w:t>C. AUSFÜHRLICHE KRITISCHE ZUSAMMENFASSUNGEN</w:t>
      </w:r>
    </w:p>
    <w:p>
      <w:r>
        <w:t>Gemäß Artikel 12 Absatz 3 sind ausführliche kritische Zusammenfassungen der Ergebnisse der pharmazeutischen (physikalisch-chemischen, biologischen oder mikrobiologischen) Prüfungen, der Unbedenklichkeits- und Rückstandsversuche, der vorklinischen und klinischen Versuche sowie der Prüfungen zur Beurteilung der möglichen nachteiligen Auswirkungen des Arzneimittels auf die Umwelt vorzulegen.</w:t>
      </w:r>
    </w:p>
    <w:p>
      <w:r>
        <w:t>Jede ausführliche kritische Zusammenfassung ist auf der Grundlage des wissenschaftlichen Kenntnisstands zum Zeitpunkt der Antragstellung auszuarbeiten. Sie muss eine Bewertung der verschiedenen Prüfungen und Versuche enthalten, die Bestandteile des Antragsdossiers sind, und alle für die Beurteilung von Qualität, Unbedenklichkeit und Wirksamkeit des Tierarzneimittels relevanten Punkte behandeln. Die Ergebnisse der vorgelegten Prüfungen und Versuche sind detailliert aufzuführen und es sind genaue Quellenangaben zu machen.</w:t>
      </w:r>
    </w:p>
    <w:p>
      <w:r>
        <w:t>Alle wichtigen Daten sind in einer Anlage zusammenzufassen, und zwar, wenn möglich, als Tabelle oder Grafik. Die ausführliche kritische Zusammenfassung und die Anlagen dazu müssen präzise Querverweise zu den Angaben im Zulassungsdossier aufweisen.</w:t>
      </w:r>
    </w:p>
    <w:p>
      <w:r>
        <w:t>Ausführliche kritische Zusammenfassungen sind zu unterzeichnen und zu datieren; außerdem sind Angaben zum Ausbildungsprofil und zur Berufserfahrung des Verfassers zu machen. Die beruflichen Beziehungen des Verfassers zum Antragsteller sind darzulegen.</w:t>
      </w:r>
    </w:p>
    <w:p>
      <w:r>
        <w:t>Ist der Wirkstoff Bestandteil eines Humanarzneimittels, das gemäß den Vorschriften von Anhang I der Richtlinie 2001/83/EG des Europäischen Parlaments und des Rates genehmigt wurde, so kann statt der Zusammenfassung der Dokumentation über den Wirkstoff bzw. das Arzneimittel die Zusammenfassung der pharmazeutischen Qualität gemäß Modul 2 Abschnitt 2.3 des genannten Anhangs vorgelegt werden.</w:t>
      </w:r>
    </w:p>
    <w:p>
      <w:r>
        <w:t>Hat die zuständige Behörde öffentlich bekannt gegeben, dass die chemischen, pharmazeutischen und biologischen/mikrobiologischen Informationen über das Fertigerzeugnis ausschließlich im CTD-Format (Common Technical Document) in das Dossier aufgenommen werden dürfen, können die ausführlichen kritischen Zusammenfassungen der Ergebnisse der pharmazeutischen Prüfungen im selben Format wie die Zusammenfassung der pharmazeutischen Qualität vorgelegt werden.</w:t>
      </w:r>
    </w:p>
    <w:p>
      <w:r>
        <w:t>Bei Anträgen, die Tierarten oder Indikationen mit lediglich kleinen Marktsegmenten betreffen, kann das Format der Zusammenfassung der pharmazeutischen Qualität ohne vorherige Zustimmung der zuständigen Behörden verwendet werden.</w:t>
      </w:r>
    </w:p>
    <w:p>
      <w:pPr>
        <w:pStyle w:val="Heading1"/>
      </w:pPr>
      <w:r>
        <w:t>ANHANG II (Fortsetzung)</w:t>
      </w:r>
    </w:p>
    <w:p>
      <w:pPr>
        <w:pStyle w:val="Heading2"/>
      </w:pPr>
      <w:r>
        <w:t>TEIL 2</w:t>
      </w:r>
    </w:p>
    <w:p>
      <w:pPr>
        <w:pStyle w:val="Heading1"/>
      </w:pPr>
      <w:r>
        <w:t>ANHANG II (Fortsetzung)</w:t>
      </w:r>
    </w:p>
    <w:p>
      <w:pPr>
        <w:pStyle w:val="Heading2"/>
      </w:pPr>
      <w:r>
        <w:t>Pharmazeutische (physikalisch-chemische, biologische oder mikrobiologische daten (qualität))</w:t>
      </w:r>
    </w:p>
    <w:p>
      <w:pPr>
        <w:pStyle w:val="Heading1"/>
      </w:pPr>
      <w:r>
        <w:t>ANHANG II (Fortsetzung)</w:t>
      </w:r>
    </w:p>
    <w:p>
      <w:pPr>
        <w:pStyle w:val="Heading2"/>
      </w:pPr>
      <w:r>
        <w:t>Wesentliche Grundsätze und Vorschriften</w:t>
      </w:r>
    </w:p>
    <w:p>
      <w:r>
        <w:t>Die Angaben und Unterlagen, die dem Genehmigungsantrag gemäß Artikel 12 Absatz 3 Buchstabe j erster Gedankenstrich beizufügen sind, müssen den folgenden Vorschriften entsprechen.</w:t>
      </w:r>
    </w:p>
    <w:p>
      <w:r>
        <w:t>Die pharmazeutischen (physikalisch-chemischen, biologischen oder mikrobiologischen) Daten müssen sowohl für die Wirkstoffe als auch für das fertige Tierarzneimittel alle einschlägigen Angaben zu Herstellungsprozess, kennzeichnenden Merkmalen und Eigenschaften, Verfahren und Vorschriften zur Qualitätskontrolle sowie Angaben zur Haltbarkeit enthalten und eine Beschreibung von Zusammensetzung, Entwicklung und Darreichung des Fertigarzneimittels umfassen.</w:t>
      </w:r>
    </w:p>
    <w:p>
      <w:r>
        <w:t>Es gelten alle Monographien, einschließlich der allgemeinen Monographien und Kapitel des Europäischen Arzneibuchs, oder in Ermangelung dieser diejenigen des Arzneibuchs eines Mitgliedstaats.</w:t>
      </w:r>
    </w:p>
    <w:p>
      <w:r>
        <w:t>Alle Prüfverfahren müssen die Kriterien für die Analyse und Kontrolle der Qualität der Ausgangsstoffe und des Fertigerzeugnisses erfüllen und sollten bestehende Leitlinien und Anforderungen berücksichtigen. Die Ergebnisse der Validierungsstudien sind vorzulegen.</w:t>
      </w:r>
    </w:p>
    <w:p>
      <w:r>
        <w:t>Alle Prüfverfahren sind so genau zu beschreiben, dass sie auf Verlangen der zuständigen Behörde bei Kontrollversuchen reproduzierbar sind: für alle gegebenenfalls verwendeten besonderen Geräte und Anlagen sind genaue Beschreibungen und möglicherweise ein Diagramm beizufügen. Die Formeln der Laborreagenzien sind gegebenenfalls durch die Zubereitungsmethode zu ergänzen. Bei Prüfverfahren, die im Europäischen Arzneibuch oder im Arzneibuch eines Mitgliedstaats enthalten sind, kann diese Beschreibung durch einen detaillierten Verweis auf das betreffende Arzneibuch ersetzt werden.</w:t>
      </w:r>
    </w:p>
    <w:p>
      <w:r>
        <w:t>Sofern zutreffend, sind die im Europäischen Arzneibuch verzeichneten chemischen und biologischen Referenzmaterialien zu verwenden. Falls andere Referenzzubereitungen und -standards verwendet werden, sind diese anzugeben und ausführlich zu beschreiben.</w:t>
      </w:r>
    </w:p>
    <w:p>
      <w:r>
        <w:t>Falls der Wirkstoff Bestandteil eines Humanarzneimittels ist, das gemäß den Vorschriften von Anhang I der Richtlinie 2001/83/EG genehmigt wurde, so können statt der Dokumentation über den Wirkstoff bzw. das Fertigerzeugnis die chemischen, pharmazeutischen und biologischen/mikrobiologischen Daten gemäß Modul 3 der genannten Richtlinie vorgelegt werden.</w:t>
      </w:r>
    </w:p>
    <w:p>
      <w:r>
        <w:t>Die chemischen, pharmazeutischen und biologischen/mikrobiologischen Daten über den Wirkstoff oder das Fertigerzeugnis können nur dann im CTD-Format in das Dossier aufgenommen werden, wenn die zuständige Behörde diese Möglichkeit öffentlich bekannt gegeben hat.</w:t>
      </w:r>
    </w:p>
    <w:p>
      <w:r>
        <w:t>Bei Anträgen, die nur Tierarten und Indikationen mit kleinen Marktsegmenten betreffen, kann das CTD-Format ohne vorherige Zustimmung der zuständigen Behörden verwendet werden.</w:t>
      </w:r>
    </w:p>
    <w:p>
      <w:pPr>
        <w:pStyle w:val="Heading1"/>
      </w:pPr>
      <w:r>
        <w:t>ANHANG II (Fortsetzung)</w:t>
      </w:r>
    </w:p>
    <w:p>
      <w:pPr>
        <w:pStyle w:val="Heading2"/>
      </w:pPr>
      <w:r>
        <w:t>A. ZUSAMMENSETZUNG NACH ART UND MENGE DER BESTANDTEILE</w:t>
      </w:r>
    </w:p>
    <w:p>
      <w:pPr>
        <w:pStyle w:val="Heading1"/>
      </w:pPr>
      <w:r>
        <w:t>ANHANG II (Fortsetzung)</w:t>
      </w:r>
    </w:p>
    <w:p>
      <w:pPr>
        <w:pStyle w:val="Heading2"/>
      </w:pPr>
      <w:r>
        <w:t>1. Zusammensetzung nach Art</w:t>
      </w:r>
    </w:p>
    <w:p>
      <w:r>
        <w:t>Unter „Zusammensetzung nach Art“ aller Bestandteile des Arzneimittels versteht man die Bezeichnung oder Beschreibung:</w:t>
      </w:r>
    </w:p>
    <w:p>
      <w:r>
        <w:t>— des oder der Wirkstoffe;</w:t>
      </w:r>
    </w:p>
    <w:p>
      <w:r>
        <w:t>— der Bestandteile der verwendeten Hilfsstoffe, und zwar unabhängig von Art und Menge dieser Bestandteile, einschließlich der Farbstoffe, Konservierungsmittel, Adjuvanzien, Stabilisatoren, Verdickungsmittel, Emulgatoren, Geschmacks- und Aromastoffe;</w:t>
      </w:r>
    </w:p>
    <w:p>
      <w:r>
        <w:t>— der Bestandteile der Darreichungsform, die dem Tier oral oder auf anderem Weg verabreicht werden, z. B. Kapseln oder Gelatinekapseln.</w:t>
      </w:r>
    </w:p>
    <w:p>
      <w:r>
        <w:t>Diese Angaben sind durch alle anderen sachdienlichen Daten über die Art der Primärverpackung und gegebenenfalls der Umverpackung sowie erforderlichenfalls über die Art ihres Verschlusses zu ergänzen; dazu gehören auch ausführliche Angaben zu den Vorrichtungen, mit denen das Arzneimittel angewandt oder verabreicht wird und die zusammen mit dem Arzneimittel abgegeben werden.</w:t>
      </w:r>
    </w:p>
    <w:p>
      <w:pPr>
        <w:pStyle w:val="Heading1"/>
      </w:pPr>
      <w:r>
        <w:t>ANHANG II (Fortsetzung)</w:t>
      </w:r>
    </w:p>
    <w:p>
      <w:pPr>
        <w:pStyle w:val="Heading2"/>
      </w:pPr>
      <w:r>
        <w:t>2. Allgemein gebräuchliche Bezeichnungen</w:t>
      </w:r>
    </w:p>
    <w:p>
      <w:r>
        <w:t>Für die gebräuchlichen Bezeichnungen zur Beschreibung der Bestandteile eines Tierarzneimittels ist unbeschadet der in Artikel 12 Absatz 3 Buchstabe c dieser Richtlinie vorgesehenen Angaben Folgendes maßgeblich:</w:t>
      </w:r>
    </w:p>
    <w:p>
      <w:r>
        <w:t>— Bei den im Europäischen Arzneibuch oder, falls nicht vorhanden, im Arzneibuch eines Mitgliedstaats aufgeführten Bestandteilen muss unter Bezugnahme auf das fragliche Arzneibuch die in der betreffenden Monographie enthaltene Hauptbezeichnung verwendet werden.</w:t>
      </w:r>
    </w:p>
    <w:p>
      <w:r>
        <w:t>— Bei den übrigen Bestandteilen ist der von der Weltgesundheitsorganisation (WHO) empfohlene internationale Freiname (INN), der durch einen weiteren Freinamen ergänzt werden kann, oder, falls ein solcher nicht besteht, die genaue wissenschaftliche Bezeichnung zu verwenden; Bestandteile ohne internationale Freinamen oder ohne genaue wissenschaftliche Bezeichnung werden durch Angabe von Ursprung und Entstehungsart bezeichnet, wobei gegebenenfalls nähere zweckdienliche Angaben beizufügen sind.</w:t>
      </w:r>
    </w:p>
    <w:p>
      <w:r>
        <w:t>— Bei färbenden Stoffen ist die „E“-Nummer gemäß Richtlinie 78/25/EWG des Rates zu verwenden.</w:t>
      </w:r>
    </w:p>
    <w:p>
      <w:pPr>
        <w:pStyle w:val="Heading1"/>
      </w:pPr>
      <w:r>
        <w:t>ANHANG II (Fortsetzung)</w:t>
      </w:r>
    </w:p>
    <w:p>
      <w:pPr>
        <w:pStyle w:val="Heading2"/>
      </w:pPr>
      <w:r>
        <w:t>3. Zusammensetzung nach Menge</w:t>
      </w:r>
    </w:p>
    <w:p>
      <w:r>
        <w:rPr>
          <w:b/>
        </w:rPr>
        <w:t>Tabelle (zeilenweise wiedergegeben):</w:t>
      </w:r>
    </w:p>
    <w:p>
      <w:pPr>
        <w:pStyle w:val="ListBullet"/>
      </w:pPr>
      <w:r>
        <w:t>3.1. | Was die „Zusammensetzung nach Menge“ aller Wirkstoffe der Tierarzneimittel betrifft, so ist je nach der Darreichungsform für jeden Wirkstoff die Masse oder die Zahl der Einheiten biologischer Aktivität je Einnahme-, Masse- oder Volumeneinheit anzugeben. Einheiten der biologischen Aktivität sind für chemisch nicht zu definierende Stoffe anzuwenden. Sofern die Weltgesundheitsorganisation eine internationale Einheit der biologischen Aktivität festgelegt hat, ist diese zu verwenden. Falls keine internationale Einheit festgelegt wurde, sind die Einheiten der biologischen Aktivität unter Verwendung der Einheiten des Europäischen Arzneibuchs so auszudrücken, dass sie eindeutig Aufschluss über die Wirksamkeit der Stoffe geben. Wenn möglich, ist die biologische Aktivität je Masse- oder Volumeneinheit anzugeben. Diese Angaben sind zu ergänzen: — bei Präparaten zur einmaligen Verabreichung durch die Masse oder die Einheiten der biologischen Aktivität jedes in der Behältniseinheit enthaltenen Wirkstoffes, und zwar unter Berücksichtigung des verwendbaren Volumens des Arzneimittels, gegebenenfalls nach seiner Rekonstituierung; — bei Tierarzneimitteln, die in Tropfen verabreicht werden, durch die Masse oder die Einheiten der biologischen Aktivität der einzelnen Wirkstoffe, die in der 1 ml oder 1 g der Zubereitung entsprechenden Zahl von Tropfen bzw. in einem Tropfen enthalten sind; — bei Sirupen, Emulsionen, Granulaten und anderen in abgemessenen Mengeneinheiten zu verabreichenden Darreichungsformen durch die Masse oder die Einheiten der biologischen Aktivität jedes Wirkstoffes je Verabreichungseinheit.</w:t>
      </w:r>
    </w:p>
    <w:p>
      <w:pPr>
        <w:pStyle w:val="ListBullet"/>
      </w:pPr>
      <w:r>
        <w:t>3.2. | Wirkstoffe in Form von Verbindungen oder Derivaten sind quantitativ durch ihre Gesamtmasse und — sofern erforderlich oder sachdienlich — durch die Masse der aktiven Moleküleinheit(en) angegeben.</w:t>
      </w:r>
    </w:p>
    <w:p>
      <w:pPr>
        <w:pStyle w:val="ListBullet"/>
      </w:pPr>
      <w:r>
        <w:t>3.3. | Für Tierarzneimittel, die einen Wirkstoff enthalten, für den erstmals in einem Mitgliedstaat ein Antrag auf Genehmigung für das Inverkehrbringen gestellt wird, ist die Zusammensetzung nach Menge eines Wirkstoffs als Salz oder Hydrat systematisch als Masse des aktiven Bestandteils des Moleküls anzugeben. Bei allen später in den Mitgliedstaaten genehmigten Tierarzneimitteln ist die mengenmäßige Zusammensetzung für denselben Wirkstoff in derselben Weise anzugeben.</w:t>
      </w:r>
    </w:p>
    <w:p>
      <w:pPr>
        <w:pStyle w:val="Heading1"/>
      </w:pPr>
      <w:r>
        <w:t>ANHANG II (Fortsetzung)</w:t>
      </w:r>
    </w:p>
    <w:p>
      <w:pPr>
        <w:pStyle w:val="Heading2"/>
      </w:pPr>
      <w:r>
        <w:t>4. Pharmazeutische Entwicklung</w:t>
      </w:r>
    </w:p>
    <w:p>
      <w:r>
        <w:t>Es müssen Aussagen über die Wahl der Zusammensetzung, der Bestandteile, der Primärverpackung, einer etwaigen weiteren Verpackung und gegebenenfalls der äußeren Umhüllung sowie die beabsichtigte Funktion der Hilfsstoffe im Fertigerzeugnis und das Herstellungsverfahren gemacht werden. Diese Aussagen sind durch wissenschaftliche Daten über die pharmazeutische Entwicklung zu erhärten. Wirkstoffzuschläge sind anzugeben und zu begründen. Die mikrobiologischen Merkmale (mikrobiologische Reinheit und antimikrobielle Eigenschaften) und die Anwendungshinweise müssen nachweislich für den Verwendungszweck des Tierarzneimittels geeignet sein, der im Antragsdossier angegeben wurde.</w:t>
      </w:r>
    </w:p>
    <w:p>
      <w:pPr>
        <w:pStyle w:val="Heading1"/>
      </w:pPr>
      <w:r>
        <w:t>ANHANG II (Fortsetzung)</w:t>
      </w:r>
    </w:p>
    <w:p>
      <w:pPr>
        <w:pStyle w:val="Heading2"/>
      </w:pPr>
      <w:r>
        <w:t>B. ANGABEN ÜBER DIE HERSTELLUNGSWEISE</w:t>
      </w:r>
    </w:p>
    <w:p>
      <w:r>
        <w:t>Es sind der Name, die Anschrift und die Verantwortlichkeit jedes Herstellers sowie jeder vorgeschlagene Produktionsstandort bzw. jede Anlage anzugeben, die an der Herstellung und Prüfung beteiligt sind.</w:t>
      </w:r>
    </w:p>
    <w:p>
      <w:r>
        <w:t>Die Angaben über die Herstellungsweise, die dem Genehmigungsantrag gemäß Artikel 12 Absatz 3 Buchstabe d der vorliegenden Richtlinie beizufügen sind, müssen einen hinreichenden Überblick über die Art der Herstellungsabläufe geben.</w:t>
      </w:r>
    </w:p>
    <w:p>
      <w:r>
        <w:t>Zu diesem Zweck umfasst dieser Überblick mindestens:</w:t>
      </w:r>
    </w:p>
    <w:p>
      <w:r>
        <w:t>— die einzelnen Herstellungsstufen, anhand derer beurteilt werden kann, ob die zur Herstellung der Darreichungsform angewandten Verfahren nicht zu einer nachteiligen Veränderung der Bestandteile geführt haben;</w:t>
      </w:r>
    </w:p>
    <w:p>
      <w:r>
        <w:t>— bei kontinuierlicher Herstellung umfassende Angaben über die Vorkehrungen zur Gewährleistung der Homogenität des Fertigerzeugnisses;</w:t>
      </w:r>
    </w:p>
    <w:p>
      <w:r>
        <w:t>— die tatsächliche Herstellungsformel, einschließlich der Menge aller verwendeten Stoffe; die Mengen der verwendeten Hilfsstoffe können jedoch annähernd angegeben werden, sofern die Darreichungsform dies erforderlich macht; anzugeben sind ferner flüchtige Bestandteile, die in den fertigen Arzneimitteln nicht mehr enthalten sind; jeder Wirkstoffzuschlag ist anzugeben und zu begründen;</w:t>
      </w:r>
    </w:p>
    <w:p>
      <w:r>
        <w:t>— die Herstellungsstufen, bei denen Proben für die Kontrolluntersuchungen während der Herstellung entnommen wurden, sowie die angewendeten Grenzwerte, sofern andere Daten in den Antragsunterlagen diese Untersuchungen für die Kontrolle der Qualität des Fertigerzeugnisses notwendig erscheinen lassen;</w:t>
      </w:r>
    </w:p>
    <w:p>
      <w:r>
        <w:t>— die experimentellen Studien zur Validierung des Herstellungsprozesses und gegebenenfalls ein Schema zur Prozessvalidierung für im Produktionsmaßstab erzeugte Chargen;</w:t>
      </w:r>
    </w:p>
    <w:p>
      <w:r>
        <w:t>— bei sterilen Arzneimitteln, für die keine in einem Arzneibuch aufgeführte Standardsterilisierungsbedingungen verwendet wurden, ausführliche Angaben zum Sterilisierungsverfahren und/oder zum aseptischen Betrieb.</w:t>
      </w:r>
    </w:p>
    <w:p>
      <w:pPr>
        <w:pStyle w:val="Heading1"/>
      </w:pPr>
      <w:r>
        <w:t>ANHANG II (Fortsetzung)</w:t>
      </w:r>
    </w:p>
    <w:p>
      <w:pPr>
        <w:pStyle w:val="Heading2"/>
      </w:pPr>
      <w:r>
        <w:t>C. KONTROLLE DER AUSGANGSSTOFFE</w:t>
      </w:r>
    </w:p>
    <w:p>
      <w:pPr>
        <w:pStyle w:val="Heading1"/>
      </w:pPr>
      <w:r>
        <w:t>ANHANG II (Fortsetzung)</w:t>
      </w:r>
    </w:p>
    <w:p>
      <w:pPr>
        <w:pStyle w:val="Heading2"/>
      </w:pPr>
      <w:r>
        <w:t>1. Allgemeine Vorschriften</w:t>
      </w:r>
    </w:p>
    <w:p>
      <w:r>
        <w:t>„Ausgangsstoffe“ im Sinne dieses Abschnitts sind alle in Abschnitt A Punkt 1 genannten Bestandteile eines Tierarzneimittels und erforderlichenfalls seines Behältnisses einschließlich des Verschlusses.</w:t>
      </w:r>
    </w:p>
    <w:p>
      <w:r>
        <w:t>Das Dossier muss die Spezifikationen und Informationen für die Prüfungen umfassen, die zur Qualitätskontrolle aller Ausgangsstoffchargen durchzuführen sind.</w:t>
      </w:r>
    </w:p>
    <w:p>
      <w:r>
        <w:t>Die bei jeder einzelnen Charge der Ausgangsstoffe durchzuführenden Routineprüfungen müssen den Angaben im Genehmigungsantrag entsprechen. Werden andere als die in einem Arzneibuch angegebenen Versuche durchgeführt, so ist dies zu begründen und der Nachweis zu erbringen, dass die Ausgangsstoffe den Qualitätsanforderungen dieses Arzneibuchs entsprechen.</w:t>
      </w:r>
    </w:p>
    <w:p>
      <w:r>
        <w:t>Hat die Europäische Direktion für Arzneimittelqualität ein Eignungszertifikat für einen Ausgangsstoff, Wirkstoff oder Hilfsstoff ausgestellt, gilt dieses als Bezugnahme auf die einschlägige Monographie des Europäischen Arzneibuchs.</w:t>
      </w:r>
    </w:p>
    <w:p>
      <w:r>
        <w:t>Wird auf ein Eignungszertifikat Bezug genommen, versichert der Hersteller dem Antragsteller schriftlich, dass das Herstellungsverfahren seit der Erteilung des Eignungszertifikats durch die Europäische Direktion für Arzneimittelqualität nicht geändert wurde.</w:t>
      </w:r>
    </w:p>
    <w:p>
      <w:r>
        <w:t>Für die Ausgangsstoffe sind Analysezertifikate zum Nachweis der Einhaltung der festgelegten Spezifikation vorzulegen.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Tierarzneimittel Verordnung (EU) 2019-6 (8 von 12) Kap X-XII NETZ DER AN DER REGULIERUNG, ALLGEMEINE</dc:title>
  <dc:subject>Amtsblatt der EU, CELEX 32019R0006, https://eur-lex.europa.eu/legal-content/DE/TXT/?uri=CELEX:32019R0006</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