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(9 von 12) Anhang II Wirkstoffe, 1.1.1. In Arzneibüchern aufgeführte</w:t>
      </w:r>
    </w:p>
    <w:p>
      <w:r>
        <w:t>Quelle: Amtsblatt der EU, CELEX 32019R0006, https://eur-lex.europa.eu/legal-content/DE/TXT/?uri=CELEX:32019R0006</w:t>
      </w:r>
    </w:p>
    <w:p>
      <w:pPr>
        <w:pStyle w:val="Heading1"/>
      </w:pPr>
      <w:r>
        <w:t>ANHANG II (Fortsetzung)</w:t>
      </w:r>
    </w:p>
    <w:p>
      <w:pPr>
        <w:pStyle w:val="Heading2"/>
      </w:pPr>
      <w:r>
        <w:t>1.1. Wirkstoffe</w:t>
      </w:r>
    </w:p>
    <w:p>
      <w:r>
        <w:t>Es sind der Name, die Anschrift und die Zuständigkeit jedes Herstellers sowie jeder vorgeschlagene Produktionsstandort bzw. jede Anlage anzugeben, die an der Herstellung und Prüfung eines Wirkstoffs beteiligt sind.</w:t>
      </w:r>
    </w:p>
    <w:p>
      <w:r>
        <w:t>Bei einem klar definierten Wirkstoff trägt der Hersteller des Wirkstoffs oder der Antragsteller dafür Sorge, dass folgende Informationen als eigenes Dokument in Form einer Wirkstoff-Stammdokumentation vom Hersteller des Wirkstoffs direkt an die zuständigen Behörden übermittelt werden:</w:t>
      </w:r>
    </w:p>
    <w:p>
      <w:r>
        <w:t>a) eine eingehende Beschreibung des Herstellungsprozesses,</w:t>
      </w:r>
    </w:p>
    <w:p>
      <w:r>
        <w:t>b) eine Beschreibung der Qualitätskontrolle bei der Herstellung,</w:t>
      </w:r>
    </w:p>
    <w:p>
      <w:r>
        <w:t>c) eine Beschreibung der Prozessvalidierung.</w:t>
      </w:r>
    </w:p>
    <w:p>
      <w:r>
        <w:t>In diesem Fall muss jedoch der Hersteller dem Antragsteller alle Angaben vorlegen, die dieser benötigt, um die Verantwortung für das Tierarzneimittel zu übernehmen. Der Hersteller muss dem Antragsteller schriftlich bestätigen, dass er die Einheitlichkeit der einzelnen Chargen gewährleistet und den Herstellungsprozess oder die Spezifikationen nicht verändert, ohne den Antragsteller darüber in Kenntnis zu setzen. Die einschlägigen Angaben und Unterlagen für den Antrag auf eine derartige Änderung sind den zuständigen Behörden vorzulegen; sie sind auch dem Antragsteller vorzulegen, wenn sie sich auf den ihn betreffenden Teil der Stammdokumentation beziehen.</w:t>
      </w:r>
    </w:p>
    <w:p>
      <w:r>
        <w:t>Ist kein Eignungszertifikat für den Wirkstoff verfügbar, sind zusätzlich Informationen über das Herstellungsverfahren, die Qualitätskontrolle, Verunreinigungen sowie Nachweise der Molekularstruktur vorzulegen.</w:t>
      </w:r>
    </w:p>
    <w:p>
      <w:r>
        <w:t>1. Informationen über den Herstellungsprozess müssen eine Beschreibung des Verfahrens zur Herstellung des Wirkstoffs enthalten, mit der der Antragsteller gleichzeitig eine Verpflichtung über die entsprechende Herstellung des Wirkstoffs eingeht. Alle zur Herstellung der Wirkstoffe benötigten Materialien sind in einer Liste aufzuführen, wobei anzugeben ist, auf welcher Stufe des Prozesses das jeweilige Material eingesetzt wird. Es sind Angaben zur Qualität und Kontrolle dieser Materialien zu machen. Ferner ist anhand von sachdienlichen Informationen nachzuweisen, dass die Materialien den ihrem Verwendungszweck entsprechenden Standards genügen.</w:t>
      </w:r>
    </w:p>
    <w:p>
      <w:r>
        <w:t>2. Angaben zur Qualitätskontrolle müssen Informationen über die in jeder wichtigen Phase durchgeführten Prüfungen (und ihre Akzeptanzkriterien), über die Qualität und Kontrolle der Zwischenprodukte sowie über die Prozessvalidierung und/oder die Evaluierungsstudien enthalten. Außerdem müssen sie gegebenenfalls Validierungsdaten für die Analysemethoden vorlegen, die hinsichtlich der Wirkstoffe angewendet wurden.</w:t>
      </w:r>
    </w:p>
    <w:p>
      <w:r>
        <w:t>3. Die Informationen über Verunreinigungen müssen Angaben zu voraussichtlichen Verunreinigungen sowie zu Menge und Art der beobachteten Verunreinigungen umfassen. Außerdem enthalten sie gegebenenfalls Informationen zur Unbedenklichkeit dieser Verunreinigungen.</w:t>
      </w:r>
    </w:p>
    <w:p>
      <w:r>
        <w:t>4. Bei biotechnologischen Tierarzneimitteln ist als Nachweis für die Molekularstruktur die schematische Aminosäurensequenz und das relative Molekulargewicht anzugeben.</w:t>
      </w:r>
    </w:p>
    <w:p>
      <w:pPr>
        <w:pStyle w:val="Heading1"/>
      </w:pPr>
      <w:r>
        <w:t>ANHANG II (Fortsetzung)</w:t>
      </w:r>
    </w:p>
    <w:p>
      <w:pPr>
        <w:pStyle w:val="Heading2"/>
      </w:pPr>
      <w:r>
        <w:t>1.1.1. In Arzneibüchern aufgeführte Wirkstoffe</w:t>
      </w:r>
    </w:p>
    <w:p>
      <w:r>
        <w:t>Die allgemeinen und spezifischen Monographien des Europäischen Arzneibuchs gelten für alle darin aufgeführten Wirkstoffe.</w:t>
      </w:r>
    </w:p>
    <w:p>
      <w:r>
        <w:t>Die Bestimmungen von Artikel 12 Absatz 3 Buchstabe i gelten als hinreichend erfüllt, wenn die Bestandteile den Vorschriften des Europäischen Arzneibuchs oder des Arzneibuchs eines der Mitgliedstaaten entsprechen. In diesem Fall kann die Beschreibung der Analysemethoden und -verfahren im jeweiligen Abschnitt durch eine geeignete Bezugnahme auf das betreffende Arzneibuch ersetzt werden.</w:t>
      </w:r>
    </w:p>
    <w:p>
      <w:r>
        <w:t>Die zuständigen Behörden können von dem Antragsteller geeignete Spezifikationen, darunter auch Grenzwerte für bestimmte Verunreinigungen samt validierten Prüfverfahren, verlangen, wenn eine Spezifikation einer Monographie des Europäischen Arzneibuchs oder des Arzneibuchs eines Mitgliedstaats unter Umständen nicht genügt, um die Qualität des Ausgangsstoffes zu gewährleisten.</w:t>
      </w:r>
    </w:p>
    <w:p>
      <w:r>
        <w:t>Die zuständigen Behörden setzen die für das betreffende Arzneibuch zuständigen Behörden davon in Kenntnis. Der Genehmigungsinhaber muss den für das betreffende Arzneibuch zuständigen Behörden alle Einzelheiten bezüglich der angeblichen Unzulänglichkeit und der zusätzlichen angewandten Spezifikationen vorlegen.</w:t>
      </w:r>
    </w:p>
    <w:p>
      <w:r>
        <w:t>Gibt es für einen Wirkstoff keine entsprechende Monographie des Europäischen Arzneibuchs, wird dieser aber in einem Arzneibuch eines Mitgliedstaats beschrieben, so kann diese Monographie verwendet werden.</w:t>
      </w:r>
    </w:p>
    <w:p>
      <w:r>
        <w:t>Sofern ein Wirkstoff weder im Europäischen Arzneibuch noch im Arzneibuch eines Mitgliedstaats beschrieben ist, kann die Übereinstimmung mit der Monographie des Arzneibuchs eines Drittlandes akzeptiert werden, wenn sich deren Eignung nachweisen lässt; in solchen Fällen hat der Antragsteller eine Kopie der Monographie, falls erforderlich zusammen mit einer Übersetzung, einzureichen. Es ist der Nachweis zu erbringen, dass sich die Monographie zur angemessenen Qualitätskontrolle des Wirkstoffs eignet.</w:t>
      </w:r>
    </w:p>
    <w:p>
      <w:pPr>
        <w:pStyle w:val="Heading1"/>
      </w:pPr>
      <w:r>
        <w:t>ANHANG II (Fortsetzung)</w:t>
      </w:r>
    </w:p>
    <w:p>
      <w:pPr>
        <w:pStyle w:val="Heading2"/>
      </w:pPr>
      <w:r>
        <w:t>1.1.2. In Arzneibüchern nicht aufgeführte Wirkstoffe</w:t>
      </w:r>
    </w:p>
    <w:p>
      <w:r>
        <w:t>Für die in keinem Arzneibuch aufgeführten Bestandteile ist eine Monographie anzufertigen, die Folgendes umfasst:</w:t>
      </w:r>
    </w:p>
    <w:p>
      <w:r>
        <w:t>a) Die Bezeichnung des Bestandteils gemäß Abschnitt A Punkt 2 ist durch die handelsüblichen oder wissenschaftlichen Synonyme zu ergänzen.</w:t>
      </w:r>
    </w:p>
    <w:p>
      <w:r>
        <w:t>b) Der Definition des Stoffs, deren Form derjenigen des Europäischen Arzneimittelbuchs entsprechen muss, sind alle notwendigen Begründungen, vor allem hinsichtlich der Molekülstruktur, beizufügen. Bei Stoffen, die nur durch die Herstellungsweise definiert werden können, ist diese so genau zu beschreiben, dass ein Stoff mit gleichbleibender Zusammensetzung und Wirkung dargestellt wird.</w:t>
      </w:r>
    </w:p>
    <w:p>
      <w:r>
        <w:t>c) Die Methoden zum Nachweis der Identität können in Form vollständiger Verfahren, wie sie für die Herstellung des Stoffes verwendet werden, und in Form routinemäßig durchzuführender Prüfungen beschrieben werden.</w:t>
      </w:r>
    </w:p>
    <w:p>
      <w:r>
        <w:t>d) Reinheitsprüfungen sind im Hinblick auf jede einzelne voraussichtliche Verunreinigung zu beschreiben, insbesondere im Hinblick auf Verunreinigungen mit schädlicher Wirkung sowie erforderlichenfalls im Hinblick auf diejenigen Verunreinigungen, die in Anbetracht der Stoffzusammensetzung, die Gegenstand des Antrags ist, einen nachteiligen Einfluss auf die Haltbarkeit des Arzneimittels haben oder die Analyseergebnisse verfälschen könnten.</w:t>
      </w:r>
    </w:p>
    <w:p>
      <w:r>
        <w:t>e) Prüfungen und Grenzwerte zur Kontrolle von für das Fertigerzeugnis relevanten Parametern, wie etwa Partikelgröße und Sterilität, müssen beschrieben und die Methoden müssen gegebenenfalls validiert werden.</w:t>
      </w:r>
    </w:p>
    <w:p>
      <w:r>
        <w:t>f) Bei komplexen Stoffen pflanzlichen oder tierischen Ursprungs ist zwischen dem Fall, dass vielfältige pharmakologische Wirkungen eine chemische, physikalische oder biologische Kontrolle der wichtigsten Bestandteile erfordern, und dem Fall von Stoffen zu unterscheiden, die eine oder mehrere Gruppen von Bestandteilen mit gleicher Wirkung umfassen, für die ein globales Verfahren zur Gehaltsbestimmung zugelassen werden kann.</w:t>
      </w:r>
    </w:p>
    <w:p>
      <w:r>
        <w:t>Diese Daten müssen belegen, dass die vorgeschlagenen Prüfverfahren die Kontrolle der Qualität des Wirkstoffs einer bestimmten Herkunft gewährleisten.</w:t>
      </w:r>
    </w:p>
    <w:p>
      <w:pPr>
        <w:pStyle w:val="Heading1"/>
      </w:pPr>
      <w:r>
        <w:t>ANHANG II (Fortsetzung)</w:t>
      </w:r>
    </w:p>
    <w:p>
      <w:pPr>
        <w:pStyle w:val="Heading2"/>
      </w:pPr>
      <w:r>
        <w:t>1.1.3. Physikalisch-chemische Eigenschaften, die die Bioverfügbarkeit beeinflussen können</w:t>
      </w:r>
    </w:p>
    <w:p>
      <w:r>
        <w:t>Die nachfolgenden Angaben über sowohl in den Arzneibüchern aufgeführte als auch darin nicht aufgeführte Wirkstoffe sind als Teil der allgemeinen Beschreibung der Wirkstoffe zu machen, wenn sie sich auf die Bioverfügbarkeit des Arzneimittels auswirken:</w:t>
      </w:r>
    </w:p>
    <w:p>
      <w:r>
        <w:t>— Kristallform und Löslichkeit,</w:t>
      </w:r>
    </w:p>
    <w:p>
      <w:r>
        <w:t>— Größe der Partikel, gegebenenfalls nach Pulverisierung,</w:t>
      </w:r>
    </w:p>
    <w:p>
      <w:r>
        <w:t>— Hydrationsgrad,</w:t>
      </w:r>
    </w:p>
    <w:p>
      <w:r>
        <w:t>— Öl-Wasser-Verteilungskoeffizient,</w:t>
      </w:r>
    </w:p>
    <w:p>
      <w:r>
        <w:t>— pK- und pH-Wert.</w:t>
      </w:r>
    </w:p>
    <w:p>
      <w:r>
        <w:t>Die drei ersten Gedankenstriche gelten nicht für nur als Lösung verwendete Stoffe.</w:t>
      </w:r>
    </w:p>
    <w:p>
      <w:pPr>
        <w:pStyle w:val="Heading1"/>
      </w:pPr>
      <w:r>
        <w:t>ANHANG II (Fortsetzung)</w:t>
      </w:r>
    </w:p>
    <w:p>
      <w:pPr>
        <w:pStyle w:val="Heading2"/>
      </w:pPr>
      <w:r>
        <w:t>1.2. Arzneiträgerstoffe</w:t>
      </w:r>
    </w:p>
    <w:p>
      <w:r>
        <w:t>Die allgemeinen und spezifischen Monographien des Europäischen Arzneibuchs gelten für alle darin aufgeführten Stoffe.</w:t>
      </w:r>
    </w:p>
    <w:p>
      <w:r>
        <w:t>Arzneiträgerstoffe müssen den Anforderungen der entsprechenden Monographie des Europäischen Arzneibuchs entsprechen. Gibt es eine solche Monographie nicht, kann auf das Arzneibuch eines Mitgliedstaats Bezug genommen werden. Gibt es auch eine solche Monographie nicht, kann auf die Monographie eines Drittstaates Bezug genommen werden. In einem solchen Fall ist die Eignung dieser Monographie nachzuweisen. Gegebenenfalls müssen die Vorschriften der Monographie durch zusätzliche Prüfungen zur Kontrolle von Parametern wie Partikelgröße, Sterilität oder Lösungsmittelrückstände ergänzt werden. Gibt es keine Arzneibuchmonographie, muss eine Spezifikation vorgeschlagen und begründet werden. Für den Wirkstoff gelten die Vorschriften für Spezifikationen gemäß Abschnitt 1.1.2 (a bis e). Die vorgeschlagenen Methoden und die entsprechenden Validierungsdaten sind darzustellen.</w:t>
      </w:r>
    </w:p>
    <w:p>
      <w:r>
        <w:t>Farbstoffe, die Tierarzneimitteln hinzugefügt werden sollen, müssen den Vorschriften der Richtlinie 78/25/EWG des Rates genügen; dies gilt nicht für bestimmte Tierarzneimittel zur topischen Anwendung, wie Insektizidhalsbänder und Ohrmarken, bei denen die Verwendung anderer Farbstoffe gerechtfertigt sein kann.</w:t>
      </w:r>
    </w:p>
    <w:p>
      <w:r>
        <w:t>Farbstoffe müssen den in der Richtlinie 95/45/EG der Kommission festgelegten Reinheitskriterien entsprechen.</w:t>
      </w:r>
    </w:p>
    <w:p>
      <w:r>
        <w:t>Bei neuartigen Hilfsstoffen, die erstmalig in einem Tierarzneimittel eingesetzt werden, oder bei Hilfsstoffen, bei denen dies durch eine neue Art der Anwendung geschieht, sind umfassende Angaben zur Herstellung, zur Charakterisierung und zu den Kontrollen zu machen, wobei Querverweise sowohl auf die klinischen als auch auf die nichtklinischen Daten zur Unbedenklichkeit zu machen sind.</w:t>
      </w:r>
    </w:p>
    <w:p>
      <w:pPr>
        <w:pStyle w:val="Heading1"/>
      </w:pPr>
      <w:r>
        <w:t>ANHANG II (Fortsetzung)</w:t>
      </w:r>
    </w:p>
    <w:p>
      <w:pPr>
        <w:pStyle w:val="Heading2"/>
      </w:pPr>
      <w:r>
        <w:t>1.3. Behältnis und Verschlusssystem</w:t>
      </w:r>
    </w:p>
    <w:p>
      <w:pPr>
        <w:pStyle w:val="Heading1"/>
      </w:pPr>
      <w:r>
        <w:t>ANHANG II (Fortsetzung)</w:t>
      </w:r>
    </w:p>
    <w:p>
      <w:pPr>
        <w:pStyle w:val="Heading2"/>
      </w:pPr>
      <w:r>
        <w:t>1.3.1. Wirkstoff</w:t>
      </w:r>
    </w:p>
    <w:p>
      <w:r>
        <w:t>Es sind Informationen über das Behältnis des Wirkstoffs und sein Verschlusssystem bereitzustellen. Welche Informationen bereitzustellen sind, hängt vom Aggregatzustand (flüssig oder fest) des Wirkstoffes ab.</w:t>
      </w:r>
    </w:p>
    <w:p>
      <w:pPr>
        <w:pStyle w:val="Heading1"/>
      </w:pPr>
      <w:r>
        <w:t>ANHANG II (Fortsetzung)</w:t>
      </w:r>
    </w:p>
    <w:p>
      <w:pPr>
        <w:pStyle w:val="Heading2"/>
      </w:pPr>
      <w:r>
        <w:t>1.3.2. Fertigerzeugnis</w:t>
      </w:r>
    </w:p>
    <w:p>
      <w:r>
        <w:t>Es sind Informationen über das Behältnis des Fertigerzeugnisses und sein Verschlusssystem bereitzustellen. Welche Informationen bereitzustellen sind, hängt vom Verabreichungsweg des Tierarzneimittels und vom Aggregatzustand (flüssig oder fest) der Darreichungsform ab.</w:t>
      </w:r>
    </w:p>
    <w:p>
      <w:r>
        <w:t>Verpackungsmaterialien müssen den Anforderungen der entsprechenden Monographie des Europäischen Arzneibuchs entsprechen. Gibt es eine solche Monographie nicht, kann auf das Arzneibuch eines Mitgliedstaats Bezug genommen werden. Gibt es auch eine solche Monographie nicht, kann auf die Monographie eines Drittstaates Bezug genommen werden. In einem solchen Fall ist die Eignung dieser Monographie nachzuweisen.</w:t>
      </w:r>
    </w:p>
    <w:p>
      <w:r>
        <w:t>Gibt es keine Arzneibuchmonographie, muss eine Spezifikation für das Verpackungsmaterial vorgeschlagen und begründet werden.</w:t>
      </w:r>
    </w:p>
    <w:p>
      <w:r>
        <w:t>Es sind wissenschaftliche Daten über Auswahl und Eignung des Verpackungsmaterials vorzulegen.</w:t>
      </w:r>
    </w:p>
    <w:p>
      <w:r>
        <w:t>Für neuartiges Verpackungsmaterial, das mit dem Arzneimittel in Kontakt kommt, sind Informationen über Zusammensetzung, Herstellung und Unbedenklichkeit vorzulegen.</w:t>
      </w:r>
    </w:p>
    <w:p>
      <w:r>
        <w:t>Für Darreichungs- oder Verabreichungsvorrichtungen für Tierarzneimittel, die zusammen mit dem Tierarzneimittel bereitgestellt werden, sind Spezifikationen und gegebenenfalls Leistungsdaten vorzulegen.</w:t>
      </w:r>
    </w:p>
    <w:p>
      <w:pPr>
        <w:pStyle w:val="Heading1"/>
      </w:pPr>
      <w:r>
        <w:t>ANHANG II (Fortsetzung)</w:t>
      </w:r>
    </w:p>
    <w:p>
      <w:pPr>
        <w:pStyle w:val="Heading2"/>
      </w:pPr>
      <w:r>
        <w:t>1.4. Stoffe biologischer Herkunft</w:t>
      </w:r>
    </w:p>
    <w:p>
      <w:r>
        <w:t>Sofern Ausgangsstoffe wie Mikroorganismen, Gewebe pflanzlichen oder tierischen Ursprungs, Zellen oder Flüssigkeiten (einschließlich Blut) menschlichen oder tierischen Ursprungs oder biotechnologische Zellstrukturen für die Herstellung von Tierarzneimitteln verwendet werden, sind Ursprung und Herkunft der Ausgangsstoffe zu beschreiben und durch Unterlagen zu belegen.</w:t>
      </w:r>
    </w:p>
    <w:p>
      <w:r>
        <w:t>Die Beschreibung des Ausgangsstoffs muss den Herstellungsvorgang, die Reinigungs-/Inaktivierungsverfahren sowie deren Validierung und alle prozessbegleitenden Kontrollverfahren einschließen, durch die die Qualität, Unbedenklichkeit und gleichbleibende Qualität des Fertigerzeugnisses sichergestellt werden soll.</w:t>
      </w:r>
    </w:p>
    <w:p>
      <w:r>
        <w:t>Beim Einsatz von Zellbänken ist nachzuweisen, dass die Zelleigenschaften bis zu der für die Produktion verwendeten Passagenzahl und darüber hinaus unverändert geblieben sind.</w:t>
      </w:r>
    </w:p>
    <w:p>
      <w:r>
        <w:t>Saatgut, Zellbänke oder Serumpools, wenn möglich, die Ausgangsstoffe, sind auf Fremdstoffe hin zu prüfen.</w:t>
      </w:r>
    </w:p>
    <w:p>
      <w:r>
        <w:t>Sofern Ausgangsmaterial tierischen oder menschlichen Ursprungs verwendet wird, sind die Maßnahmen zu beschreiben, die getroffen werden, um sicherzustellen, dass es frei von potenziellen Krankheitserregern ist.</w:t>
      </w:r>
    </w:p>
    <w:p>
      <w:r>
        <w:t>Sofern das Vorhandensein potenziell pathogener Fremdstoffe unvermeidlich ist, darf das Material nur verwendet werden, wenn durch die weitere Verarbeitung ihre Beseitigung und/oder Inaktivierung sichergestellt ist; dies ist zu validieren.</w:t>
      </w:r>
    </w:p>
    <w:p>
      <w:r>
        <w:t>Es ist anhand von Unterlagen zu belegen, dass Saatgut, Zellkulturen, Serumchargen und anderes Material, das von Tierarten stammt, die TSE übertragen könnten, den Leitlinien für die Minimierung des Risikos der Übertragung von Erregern der Spongiformen Enzephalopathie tierischen Ursprungs durch Human- und Tierarzneimittel sowie der entsprechenden Monographie des Europäischen Arzneibuchs entsprechen. Dieser Nachweis kann durch Eignungszertifikate erbracht werden, die von der Europäischen Direktion für Arzneimittelqualität (EDQM) für die einschlägige Monographie des Europäischen Arzneibuchs ausgestellt werden.</w:t>
      </w:r>
    </w:p>
    <w:p>
      <w:pPr>
        <w:pStyle w:val="Heading1"/>
      </w:pPr>
      <w:r>
        <w:t>ANHANG II (Fortsetzung)</w:t>
      </w:r>
    </w:p>
    <w:p>
      <w:pPr>
        <w:pStyle w:val="Heading2"/>
      </w:pPr>
      <w:r>
        <w:t>D. IN-PROZESS-KONTROLLEN</w:t>
      </w:r>
    </w:p>
    <w:p>
      <w:r>
        <w:t>Das Dossier muss Angaben über die Prüfungen zur Produktkontrolle machen, die in einer Zwischenstufe des Herstellungsprozesses durchgeführt werden, um die Einheitlichkeit der technologischen Merkmale und des Herstellungsprozesses zu gewährleisten.</w:t>
      </w:r>
    </w:p>
    <w:p>
      <w:r>
        <w:t>Diese Kontrollen sind unerlässlich, um die Übereinstimmung des Tierarzneimittels mit der Zusammensetzung nachprüfen zu können, wenn der Antragsteller ausnahmsweise eine Methode zur analytischen Prüfung des Fertigerzeugnisses vorschlägt, die keine Bestimmung der Gesamtheit der Wirkstoffe (oder der Bestandteile des Hilfsstoffs, für welche die gleichen Anforderungen gelten wie für die Wirkstoffe) vorsieht.</w:t>
      </w:r>
    </w:p>
    <w:p>
      <w:r>
        <w:t>Das Gleiche gilt, falls prozessbegleitende Kontrollprüfungen die Voraussetzungen für die Kontrolle der Qualität des Fertigerzeugnisses bilden, und zwar vor allem dann, wenn das Fertigerzeugnis im Wesentlichen durch seine Herstellungsmethode bestimmt wird.</w:t>
      </w:r>
    </w:p>
    <w:p>
      <w:r>
        <w:t>Wird eine Halbfertigware vor der weiteren Verarbeitung oder dem ersten Schritt der Endfertigung möglicherweise gelagert, ist die Haltbarkeitsdauer der Halbfertigware auf der Grundlage der Daten zu errechnen, die sich aus Stabilitätsstudien ergeben haben.</w:t>
      </w:r>
    </w:p>
    <w:p>
      <w:pPr>
        <w:pStyle w:val="Heading1"/>
      </w:pPr>
      <w:r>
        <w:t>ANHANG II (Fortsetzung)</w:t>
      </w:r>
    </w:p>
    <w:p>
      <w:pPr>
        <w:pStyle w:val="Heading2"/>
      </w:pPr>
      <w:r>
        <w:t>E. PRÜFUNGEN AM FERTIGERZEUGNIS</w:t>
      </w:r>
    </w:p>
    <w:p>
      <w:r>
        <w:t>Im Zusammenhang mit der Kontrolle des Fertigerzeugnisses bedeutet eine Charge eines Fertigerzeugnisses die Gesamtheit der Einheiten einer Darreichungsform, die aus derselben Menge an Ausgangsmaterial stammen und derselben Serie von Herstellungs- und/oder Sterilisierungsprozessen unterworfen wurden oder — im Falle eines kontinuierlichen Herstellungsverfahrens — die Gesamtheit der in einem bestimmten Zeitraum hergestellten Einheiten.</w:t>
      </w:r>
    </w:p>
    <w:p>
      <w:r>
        <w:t>In dem Genehmigungsantrag sind die Versuche anzugeben, die routinemäßig an jeder Charge des Fertigerzeugnisses durchgeführt werden. Die Häufigkeit der nicht routinemäßig durchgeführten Prüfungen ist anzugeben. Außerdem sind Freigabe-Grenzwerte anzugeben.</w:t>
      </w:r>
    </w:p>
    <w:p>
      <w:r>
        <w:t>Das Dossier muss Angaben zu Kontrollen enthalten, die am Fertigerzeugnis bei der Freigabe vorgenommen wurden. Die Angaben und Unterlagen müssen folgenden Anforderungen entsprechen.</w:t>
      </w:r>
    </w:p>
    <w:p>
      <w:r>
        <w:t>Die Bestimmungen der einschlägigen Monographien und der allgemeinen Kapitel des Europäischen Arzneibuchs oder, falls nicht vorhanden, des Arzneibuchs eines Mitgliedstaats gelten für alle darin aufgeführten Arzneimittel.</w:t>
      </w:r>
    </w:p>
    <w:p>
      <w:r>
        <w:t>Wenn andere als in den einschlägigen Monographien und den allgemeinen Kapiteln des Europäischen Arzneibuchs oder, falls nicht vorhanden, des Arzneibuchs eines Mitgliedstaats aufgeführte Prüfverfahren und Grenzwerte angewandt werden, ist dies anhand des Nachweises zu begründen, dass das Fertigerzeugnis bei einer Prüfung im Einklang mit jenen Monographien den Qualitätsanforderungen des entsprechenden Arzneibuchs an die betreffende Darreichungsform genügen würde.</w:t>
      </w:r>
    </w:p>
    <w:p>
      <w:pPr>
        <w:pStyle w:val="Heading1"/>
      </w:pPr>
      <w:r>
        <w:t>ANHANG II (Fortsetzung)</w:t>
      </w:r>
    </w:p>
    <w:p>
      <w:pPr>
        <w:pStyle w:val="Heading2"/>
      </w:pPr>
      <w:r>
        <w:t>1. Allgemeine Merkmale des Fertigerzeugnisses</w:t>
      </w:r>
    </w:p>
    <w:p>
      <w:r>
        <w:t>Bestimmte Kontrollen allgemeiner Merkmale eines Arzneimittels müssen immer am Fertigerzeugnis durchgeführt werden. Diese Kontrollen erstrecken sich gegebenenfalls auf die Bestimmung der Durchschnittsmassen und der zulässigen Abweichungen, auf mechanische, physikalische oder mikrobiologische Versuche, auf die organoleptischen Eigenschaften, die physikalischen Eigenschaften wie Dichte, pH-Wert, Refraktionsindex usw. Für jede dieser Eigenschaften müssen die Standards und Toleranz in jedem einzelnen Fall vom Antragsteller spezifiziert werden.</w:t>
      </w:r>
    </w:p>
    <w:p>
      <w:r>
        <w:t>Die Prüfbedingungen und gegebenenfalls die verwendeten Geräte/Einrichtungen sowie die Standards sind, sofern sie nicht im Europäischen Arzneibuch oder im Arzneibuch eines Mitgliedstaats angegeben sind, genau zu beschreiben; das Gleiche gilt für den Fall, dass die in diesen Arzneibüchern vorgesehenen Verfahren nicht anwendbar sind.</w:t>
      </w:r>
    </w:p>
    <w:p>
      <w:r>
        <w:t>Darüber hinaus sind bei festen Darreichungsformen, die oral zu verabreichen sind, In-vitro-Untersuchungen über die Freisetzung und Lösungsgeschwindigkeit des oder der Wirkstoffe durchzuführen, sofern nicht anders begründet. Diese Untersuchungen sind auch bei der Darreichung auf anderem als oralem Weg durchzuführen, wenn die zuständigen Behörden des betreffenden Mitgliedstaats dies für erforderlich halten.</w:t>
      </w:r>
    </w:p>
    <w:p>
      <w:pPr>
        <w:pStyle w:val="Heading1"/>
      </w:pPr>
      <w:r>
        <w:t>ANHANG II (Fortsetzung)</w:t>
      </w:r>
    </w:p>
    <w:p>
      <w:pPr>
        <w:pStyle w:val="Heading2"/>
      </w:pPr>
      <w:r>
        <w:t>2. Identitätsnachweis und Gehaltsbestimmung der Wirkstoffe</w:t>
      </w:r>
    </w:p>
    <w:p>
      <w:r>
        <w:t>Der Identitätsnachweis und die Gehaltsbestimmung des oder der Wirkstoffe sind bei einer Durchschnittsprobe, die für die Charge repräsentativ ist, oder bei einer bestimmten Anzahl gesondert betrachteter Gebrauchseinheiten durchzuführen.</w:t>
      </w:r>
    </w:p>
    <w:p>
      <w:r>
        <w:t>Ohne angemessene Begründung dürfen die zulässigen Fehlerbreiten der Wirkstoffe im Fertigerzeugnis bei der Herstellung ± 5 % nicht überschreiten.</w:t>
      </w:r>
    </w:p>
    <w:p>
      <w:r>
        <w:t>Der Hersteller muss die bis zum Ablauf der vorgeschlagenen Haltbarkeitsdauer geltenden zulässigen Grenzwerte für Abweichungen der Wirkstoffe im Fertigerzeugnis anhand von Haltbarkeitsprüfungen vorschlagen und begründen.</w:t>
      </w:r>
    </w:p>
    <w:p>
      <w:r>
        <w:t>In bestimmten Fällen besonders komplexer Mischungen, bei denen die Bestimmung zahlreicher oder in äußerst geringen Mengen vorhandener Wirkstoffe schwierige Prüfungen, die sich kaum bei jeder einzelnen Herstellungscharge durchführen lassen, erforderlich machen würde, ist es zulässig, dass die Gehaltsbestimmung eines oder mehrerer Wirkstoffe im Fertigerzeugnis unterbleibt, dies jedoch unter der ausdrücklichen Bedingung, dass diese Gehaltsbestimmungen am Zwischenerzeugnis durchgeführt werden. Diese vereinfachte Methode darf nicht auf die Charakterisierung der betreffenden Stoffe ausgedehnt werden. Sie wird durch eine Methode der quantitativen Bestimmung vervollständigt, die es den zuständigen Behörden ermöglicht nachzuprüfen, ob das Arzneimittel nach dem Inverkehrbringen mit seinen Spezifikationen im Einklang ist.</w:t>
      </w:r>
    </w:p>
    <w:p>
      <w:r>
        <w:t>Eine biologische Bestimmung in vivo oder in vitro ist erforderlich, sofern die physikalisch-chemischen Methoden nicht ausreichen, um Auskunft über die Qualität des Arzneimittels zu erhalten. Solch eine Bestimmung sollte möglichst Referenzmaterialien und statistische Analysen mit Berechnung der Sicherheitskoeffizienten umfassen. Sofern diese Versuche nicht am Fertigerzeugnis durchgeführt werden können, ist es möglich, dass sie in einem Zwischenstadium, möglichst gegen Ende des Herstellungsverfahrens, erfolgen.</w:t>
      </w:r>
    </w:p>
    <w:p>
      <w:r>
        <w:t>Kommt es bei der Herstellung des Fertigerzeugnisses zu Abbauprozessen, ist der annehmbare Höchstwert unmittelbar nach der Herstellung für Einzel- und Gesamtabbauprodukte anzugeben.</w:t>
      </w:r>
    </w:p>
    <w:p>
      <w:r>
        <w:t>Lassen die Angaben gemäß Abschnitt B einen signifikanten Wirkstoffzuschlag bei der Herstellung des Arzneimittels erkennen oder zeigen die Stabilitätsdaten, dass der Wirkstoffgehalt sich bei Lagerung verringert, muss die Beschreibung der Methoden zur Kontrolle des Fertigerzeugnisses gegebenenfalls die chemische Prüfung und erforderlichenfalls die toxikologisch-pharmakologische Prüfung der bei diesem Stoff eingetretenen Veränderungen umfassen; hier sind gegebenenfalls die Abbauprodukte zu charakterisieren und/oder zu bestimmen.</w:t>
      </w:r>
    </w:p>
    <w:p>
      <w:pPr>
        <w:pStyle w:val="Heading1"/>
      </w:pPr>
      <w:r>
        <w:t>ANHANG II (Fortsetzung)</w:t>
      </w:r>
    </w:p>
    <w:p>
      <w:pPr>
        <w:pStyle w:val="Heading2"/>
      </w:pPr>
      <w:r>
        <w:t>3. Identitätsnachweis und Gehaltsbestimmung der Bestandteile des Hilfsstoffs</w:t>
      </w:r>
    </w:p>
    <w:p>
      <w:r>
        <w:t>Eine Identitätsprüfung und die Bestimmung des oberen und des unteren Grenzwerts sind für jeden einzelnen antimikrobiellen Konservierungsstoff und für alle Hilfsstoffe vorgeschrieben, die die Bioverfügbarkeit des Wirkstoffs beeinträchtigen könnten, sofern die Bioverfügbarkeit nicht durch andere geeignete Prüfungen gewährleistet ist. Die Identitätsprüfung und die Bestimmung eines oberen Grenzwerts sind für alle Antioxidantien und alle Hilfsstoffe erforderlich, die die physiologischen Funktionen beeinträchtigen könnten; außerdem ist für Antioxidantien zum Zeitpunkt der Freigabe auch ein unterer Grenzwert zu bestimmen.</w:t>
      </w:r>
    </w:p>
    <w:p>
      <w:pPr>
        <w:pStyle w:val="Heading1"/>
      </w:pPr>
      <w:r>
        <w:t>ANHANG II (Fortsetzung)</w:t>
      </w:r>
    </w:p>
    <w:p>
      <w:pPr>
        <w:pStyle w:val="Heading2"/>
      </w:pPr>
      <w:r>
        <w:t>4. Unbedenklichkeitsversuche</w:t>
      </w:r>
    </w:p>
    <w:p>
      <w:r>
        <w:t>Unabhängig von den Ergebnissen toxikologischer und pharmakologischer Versuche, die zusammen mit dem Genehmigungsantrag vorzulegen sind, ist in den analytischen Unterlagen die Unbedenklichkeit in Bezug auf Sterilität und bakterielle Endotoxine nachzuweisen, soweit die Prüfungen routinemäßig zur Kontrolle der Qualität des Arzneimittels durchgeführt werden müssen.</w:t>
      </w:r>
    </w:p>
    <w:p>
      <w:pPr>
        <w:pStyle w:val="Heading1"/>
      </w:pPr>
      <w:r>
        <w:t>ANHANG II (Fortsetzung)</w:t>
      </w:r>
    </w:p>
    <w:p>
      <w:pPr>
        <w:pStyle w:val="Heading2"/>
      </w:pPr>
      <w:r>
        <w:t>F. HALTBARKEITSVERSUCHE</w:t>
      </w:r>
    </w:p>
    <w:p>
      <w:pPr>
        <w:pStyle w:val="Heading1"/>
      </w:pPr>
      <w:r>
        <w:t>ANHANG II (Fortsetzung)</w:t>
      </w:r>
    </w:p>
    <w:p>
      <w:pPr>
        <w:pStyle w:val="Heading2"/>
      </w:pPr>
      <w:r>
        <w:t>1. Wirkstoff(e)</w:t>
      </w:r>
    </w:p>
    <w:p>
      <w:r>
        <w:t>Es sind ein Zeitraum für wiederholte Prüfungen sowie die Bedingungen für die Lagerung des Wirkstoffs anzugeben, es sei denn der Wirkstoff ist Gegenstand einer Monographie des Europäischen Arzneibuchs und der Hersteller des Fertigerzeugnisses unterzieht den Wirkstoff unmittelbar vor seiner Verwendung im Rahmen der Herstellung des Fertigerzeugnisses einer vollständigen Überprüfung.</w:t>
      </w:r>
    </w:p>
    <w:p>
      <w:r>
        <w:t>Zur Erhärtung der Vorgaben bezüglich des Überprüfungszeitraums und der Lagerung sind Stabilitätsdaten vorzulegen. Die Art der durchgeführten Stabilitätsstudien, die verwendeten Versuchsprotokolle und Analyseverfahren sowie ihre Validierung sind zusammen mit den ausführlichen Ergebnissen vorzulegen. Der Haltbarkeitsverpflichtung ist eine Zusammenfassung des Versuchsprotokolls beizufügen.</w:t>
      </w:r>
    </w:p>
    <w:p>
      <w:r>
        <w:t>Liegt für den Wirkstoff aus der vorgeschlagenen Bezugsquelle jedoch ein Eignungszertifikat vor und werden darin ein Überprüfungszeitraum und Lagerungsbedingungen genannt, so sind für den Wirkstoff aus dieser Bezugsquelle keine Stabilitätsdaten erforderlich.</w:t>
      </w:r>
    </w:p>
    <w:p>
      <w:pPr>
        <w:pStyle w:val="Heading1"/>
      </w:pPr>
      <w:r>
        <w:t>ANHANG II (Fortsetzung)</w:t>
      </w:r>
    </w:p>
    <w:p>
      <w:pPr>
        <w:pStyle w:val="Heading2"/>
      </w:pPr>
      <w:r>
        <w:t>2. Fertigerzeugnisse</w:t>
      </w:r>
    </w:p>
    <w:p>
      <w:r>
        <w:t>Zu beschreiben sind die Untersuchungen, die es ermöglicht haben, die Haltbarkeitsdauer, die empfohlenen Lagerungsbedingungen und die Spezifikationen bei Ablauf der Haltbarkeitsdauer, wie vom Antragsteller vorgeschlagen, zu erhärten.</w:t>
      </w:r>
    </w:p>
    <w:p>
      <w:r>
        <w:t>Die Art der durchgeführten Stabilitätsstudien, die verwendeten Versuchsprotokolle und Analyseverfahren sowie ihre Validierung sind zusammen mit den ausführlichen Ergebnissen vorzulegen.</w:t>
      </w:r>
    </w:p>
    <w:p>
      <w:r>
        <w:t>Sofern bei einem Fertigerzeugnis vor der Verabreichung eine Rekonstituierung oder Verdünnung erforderlich ist, sind detaillierte Angaben zu der vorgeschlagenen Haltbarkeitsdauer und zu den Spezifikationen für das rekonstituierte/verdünnte Arzneimittel zu machen und durch sachdienliche Haltbarkeitsdaten zu erhärten.</w:t>
      </w:r>
    </w:p>
    <w:p>
      <w:r>
        <w:t>Bei Multidosisbehältnissen sind gegebenenfalls Haltbarkeitsdaten vorzulegen, um die Haltbarkeitsdauer nach erstmaliger Entnahme des Arzneimittels zu begründen, und es ist eine Spezifikation für das im Gebrauch befindliche Behältnis festzulegen.</w:t>
      </w:r>
    </w:p>
    <w:p>
      <w:r>
        <w:t>Ist damit zu rechnen, dass sich bei einem Fertigerzeugnis Abbauprodukte bilden, so muss der Antragsteller dies mitteilen und angeben, welche Methoden für ihre Identifizierung und welche Prüfverfahren angewandt werden.</w:t>
      </w:r>
    </w:p>
    <w:p>
      <w:r>
        <w:t>Die Schlussfolgerungen müssen Analyseergebnisse enthalten, die die vorgeschlagene Haltbarkeitsdauer und gegebenenfalls die Haltbarkeitsdauer nach der ersten Entnahme bei den empfohlenen Lagerungsbedingungen sowie die Spezifikationen des Fertigerzeugnisses bei Ablauf der Haltbarkeitsdauer und gegebenenfalls der Haltbarkeitsdauer nach der ersten Entnahme bei diesen empfohlenen Lagerungsbedingungen rechtfertigen.</w:t>
      </w:r>
    </w:p>
    <w:p>
      <w:r>
        <w:t>Der annehmbare Höchstwert für Einzel- und Gesamtabbauprodukte bei Ablauf der Haltbarkeitsdauer ist anzugeben.</w:t>
      </w:r>
    </w:p>
    <w:p>
      <w:r>
        <w:t>Eine Beschreibung der Wechselwirkung von Arzneimittel und Behältnis ist in allen Fällen vorzulegen, in denen ein solches Risiko denkbar ist, insbesondere, wenn es sich um injizierbare Präparate handelt.</w:t>
      </w:r>
    </w:p>
    <w:p>
      <w:r>
        <w:t>Der Haltbarkeitsverpflichtung ist eine Zusammenfassung des Versuchsprotokolls beizufügen.</w:t>
      </w:r>
    </w:p>
    <w:p>
      <w:pPr>
        <w:pStyle w:val="Heading1"/>
      </w:pPr>
      <w:r>
        <w:t>ANHANG II (Fortsetzung)</w:t>
      </w:r>
    </w:p>
    <w:p>
      <w:pPr>
        <w:pStyle w:val="Heading2"/>
      </w:pPr>
      <w:r>
        <w:t>G. SONSTIGE INFORMATIONEN</w:t>
      </w:r>
    </w:p>
    <w:p>
      <w:r>
        <w:t>In das Dossier können auch Informationen über die Qualität des Tierarzneimittels aufgenommen werden, die in den vorstehenden Abschnitten nicht erfasst sind.</w:t>
      </w:r>
    </w:p>
    <w:p>
      <w:r>
        <w:t>Für Arzneimittel-Vormischungen (zur Herstellung von Fütterungsarzneimitteln bestimmte Arzneimittel) sind Angaben zu Einmischraten, Angaben zur Herstellung, zur Kompatibilität/Eignung der Mischfuttermittel, zur homogenen und stabilen Verteilung im Fütterungsarzneimittel und zur vorgesehenen Haltbarkeit des Fütterungsarzneimittels zu machen. Für die Fütterungsarzneimittel, die unter Verwendung dieser Vormischungen gemäß den empfohlenen Anweisungen hergestellt werden, ist ebenfalls eine Spezifikation zu erstellen.</w:t>
      </w:r>
    </w:p>
    <w:p>
      <w:pPr>
        <w:pStyle w:val="Heading1"/>
      </w:pPr>
      <w:r>
        <w:t>ANHANG II (Fortsetzung)</w:t>
      </w:r>
    </w:p>
    <w:p>
      <w:pPr>
        <w:pStyle w:val="Heading2"/>
      </w:pPr>
      <w:r>
        <w:t>TEIL 3</w:t>
      </w:r>
    </w:p>
    <w:p>
      <w:pPr>
        <w:pStyle w:val="Heading1"/>
      </w:pPr>
      <w:r>
        <w:t>ANHANG II (Fortsetzung)</w:t>
      </w:r>
    </w:p>
    <w:p>
      <w:pPr>
        <w:pStyle w:val="Heading2"/>
      </w:pPr>
      <w:r>
        <w:t>Unbedenklichkeits- und rückstandsversuche</w:t>
      </w:r>
    </w:p>
    <w:p>
      <w:r>
        <w:t>Die Angaben und Unterlagen, die dem Genehmigungsantrag gemäß Artikel 12 Absatz 3 Buchstabe j zweiter und vierter Gedankenstrich beizufügen sind, müssen den folgenden Vorschriften entsprechen.</w:t>
      </w:r>
    </w:p>
    <w:p>
      <w:pPr>
        <w:pStyle w:val="Heading1"/>
      </w:pPr>
      <w:r>
        <w:t>ANHANG II (Fortsetzung)</w:t>
      </w:r>
    </w:p>
    <w:p>
      <w:pPr>
        <w:pStyle w:val="Heading2"/>
      </w:pPr>
      <w:r>
        <w:t>A. UNBEDENKLICHKEITSVERSUCHE</w:t>
      </w:r>
    </w:p>
    <w:p>
      <w:pPr>
        <w:pStyle w:val="Heading1"/>
      </w:pPr>
      <w:r>
        <w:t>ANHANG II (Fortsetzung)</w:t>
      </w:r>
    </w:p>
    <w:p>
      <w:pPr>
        <w:pStyle w:val="Heading2"/>
      </w:pPr>
      <w:r>
        <w:t>Kapitel I</w:t>
      </w:r>
    </w:p>
    <w:p>
      <w:pPr>
        <w:pStyle w:val="Heading1"/>
      </w:pPr>
      <w:r>
        <w:t>ANHANG II (Fortsetzung)</w:t>
      </w:r>
    </w:p>
    <w:p>
      <w:pPr>
        <w:pStyle w:val="Heading2"/>
      </w:pPr>
      <w:r>
        <w:t>Durchführung der versuche</w:t>
      </w:r>
    </w:p>
    <w:p>
      <w:r>
        <w:t>Aus den Unbedenklichkeitsunterlagen soll Folgendes hervorgehen:</w:t>
      </w:r>
    </w:p>
    <w:p>
      <w:r>
        <w:t>a) Die potenzielle Toxizität des Tierarzneimittels und alle gefährlichen oder unerwünschten Wirkungen, die unter den vorgeschlagenen Anwendungsbedingungen beim Tier auftreten können; diese sind in Relation zur Schwere des betreffenden pathologischen Zustands zu bewerten.</w:t>
      </w:r>
    </w:p>
    <w:p>
      <w:r>
        <w:t>b) Die potenziellen schädlichen Auswirkungen von Rückständen der Tierarzneimittel oder Stoffe in von behandelten Tieren stammenden Lebensmitteln auf den Menschen und die Schwierigkeiten, die diese Rückstände bei der industriellen Lebensmittelherstellung mit sich bringen können.</w:t>
      </w:r>
    </w:p>
    <w:p>
      <w:r>
        <w:t>c) Die potenziellen Risiken, die sich für den Menschen durch den Umgang mit dem Tierarzneimittel, beispielsweise bei der Verabreichung an das Tier, ergeben können.</w:t>
      </w:r>
    </w:p>
    <w:p>
      <w:r>
        <w:t>d) Die potenziellen Risiken für die Umwelt, die sich durch die Anwendung des Tierarzneimittels ergeben können.</w:t>
      </w:r>
    </w:p>
    <w:p>
      <w:r>
        <w:t>Alle Ergebnisse müssen verlässlich und allgemeingültig sein. Gegebenenfalls sind mathematische und statistische Verfahren bei der Festlegung der Versuchsmethoden und bei der Ergebnisbewertung einzusetzen. Außerdem müssen Informationen über das therapeutische Potenzial des Arzneimittels und über die mit seiner Anwendung verbundenen Risiken bereitgestellt werden.</w:t>
      </w:r>
    </w:p>
    <w:p>
      <w:r>
        <w:t>In bestimmten Fällen ist es erforderlich, die Metaboliten der Ausgangsverbindung zu prüfen, wenn es sich bei diesen um die bedenklichen Rückstände handelt.</w:t>
      </w:r>
    </w:p>
    <w:p>
      <w:r>
        <w:t>Ein im pharmazeutischen Bereich erstmalig angewandter Hilfsstoff ist wie ein Wirkstoff zu behandeln.</w:t>
      </w:r>
    </w:p>
    <w:p>
      <w:pPr>
        <w:pStyle w:val="Heading1"/>
      </w:pPr>
      <w:r>
        <w:t>ANHANG II (Fortsetzung)</w:t>
      </w:r>
    </w:p>
    <w:p>
      <w:pPr>
        <w:pStyle w:val="Heading2"/>
      </w:pPr>
      <w:r>
        <w:t>1. Genaue Identifizierung des Arzneimittels und seiner Wirkstoffe</w:t>
      </w:r>
    </w:p>
    <w:p>
      <w:r>
        <w:t>— internationaler Freiname (INN),</w:t>
      </w:r>
    </w:p>
    <w:p>
      <w:r>
        <w:t>— IUPAC-Bezeichnung,</w:t>
      </w:r>
    </w:p>
    <w:p>
      <w:r>
        <w:t>— Nummer des Chemical Abstracts Service (CAS-Nummer),</w:t>
      </w:r>
    </w:p>
    <w:p>
      <w:r>
        <w:t>— therapeutische, pharmakologische und chemische Klassifizierung,</w:t>
      </w:r>
    </w:p>
    <w:p>
      <w:r>
        <w:t>— Synonyme und Abkürzungen,</w:t>
      </w:r>
    </w:p>
    <w:p>
      <w:r>
        <w:t>— Strukturformel,</w:t>
      </w:r>
    </w:p>
    <w:p>
      <w:r>
        <w:t>— Molekularformel,</w:t>
      </w:r>
    </w:p>
    <w:p>
      <w:r>
        <w:t>— Molekulargewicht,</w:t>
      </w:r>
    </w:p>
    <w:p>
      <w:r>
        <w:t>— Verunreinigungsgrad,</w:t>
      </w:r>
    </w:p>
    <w:p>
      <w:r>
        <w:t>— qualitative und quantitative Zusammensetzung der Verunreinigungen,</w:t>
      </w:r>
    </w:p>
    <w:p>
      <w:r>
        <w:t>— Beschreibung physikalischer Eigenschaften,</w:t>
      </w:r>
    </w:p>
    <w:p>
      <w:r>
        <w:t>— Schmelzpunkt,</w:t>
      </w:r>
    </w:p>
    <w:p>
      <w:r>
        <w:t>— Siedepunkt,</w:t>
      </w:r>
    </w:p>
    <w:p>
      <w:r>
        <w:t>— Dampfdruck,</w:t>
      </w:r>
    </w:p>
    <w:p>
      <w:r>
        <w:t>— Löslichkeit in Wasser und organischen Lösemitteln, ausgedrückt in g/l mit Temperaturangabe,</w:t>
      </w:r>
    </w:p>
    <w:p>
      <w:r>
        <w:t>— Dichte,</w:t>
      </w:r>
    </w:p>
    <w:p>
      <w:r>
        <w:t>— Refraktions-, Rotationsspektrum usw.,</w:t>
      </w:r>
    </w:p>
    <w:p>
      <w:r>
        <w:t>— Formulierung des Arzneimittels.</w:t>
      </w:r>
    </w:p>
    <w:p>
      <w:pPr>
        <w:pStyle w:val="Heading1"/>
      </w:pPr>
      <w:r>
        <w:t>ANHANG II (Fortsetzung)</w:t>
      </w:r>
    </w:p>
    <w:p>
      <w:pPr>
        <w:pStyle w:val="Heading2"/>
      </w:pPr>
      <w:r>
        <w:t>2. Pharmakologie</w:t>
      </w:r>
    </w:p>
    <w:p>
      <w:r>
        <w:t>Pharmakologische Untersuchungen sind zur Klärung der Mechanismen, die die therapeutischen Wirkungen des Tierarzneimittels herbeiführen, von fundamentaler Bedeutung, weshalb an Versuchs- und Zieltierarten durchgeführte pharmakologische Untersuchungen in Teil 4 aufgenommen werden sollten.</w:t>
      </w:r>
    </w:p>
    <w:p>
      <w:r>
        <w:t>Allerdings können pharmakologische Untersuchungen auch zum Verständnis toxikologischer Phänomene beitragen. Wenn ferner ein Tierarzneimittel bei Ausbleiben einer toxischen Reaktion oder bei Dosen, die so niedrig sind, dass kein toxischer Effekt auftritt, pharmakologische Wirkungen aufweist, sind Letztere bei der Bewertung der Unbedenklichkeit des Tierarzneimittels in Betracht zu ziehen.</w:t>
      </w:r>
    </w:p>
    <w:p>
      <w:r>
        <w:t>Daher sind den Unterlagen zur Unbedenklichkeit in jedem Fall ausführliche Angaben über an Versuchstieren durchgeführte pharmakologische Untersuchungen sowie sämtliche einschlägigen Angaben zu den klinischen Prüfungen am Zieltier voranzuschicken.</w:t>
      </w:r>
    </w:p>
    <w:p>
      <w:pPr>
        <w:pStyle w:val="Heading1"/>
      </w:pPr>
      <w:r>
        <w:t>ANHANG II (Fortsetzung)</w:t>
      </w:r>
    </w:p>
    <w:p>
      <w:pPr>
        <w:pStyle w:val="Heading2"/>
      </w:pPr>
      <w:r>
        <w:t>2.1. Pharmakodynamik</w:t>
      </w:r>
    </w:p>
    <w:p>
      <w:r>
        <w:t>Zum besseren Verständnis etwaiger Nebenwirkungen in den Tierstudien sind Informationen über den Wirkungsmechanismus der Wirkstoffe sowie über die primären und sekundären pharmakodynamischen Wirkungen vorzulegen.</w:t>
      </w:r>
    </w:p>
    <w:p>
      <w:pPr>
        <w:pStyle w:val="Heading1"/>
      </w:pPr>
      <w:r>
        <w:t>ANHANG II (Fortsetzung)</w:t>
      </w:r>
    </w:p>
    <w:p>
      <w:pPr>
        <w:pStyle w:val="Heading2"/>
      </w:pPr>
      <w:r>
        <w:t>2.2. Pharmakokinetik</w:t>
      </w:r>
    </w:p>
    <w:p>
      <w:r>
        <w:t>Es sind Daten zum Verhalten des Wirkstoffs und seiner Metaboliten bei den in den toxikologischen Studien verwendeten Tierarten vorzulegen, die Angaben zu Resorption, Verteilung, Metabolisierung und Ausscheidung (ADME) enthalten. Zur Ermittlung der entsprechenden Exposition sind die Daten mit den Dosis- Wirkungs-Ergebnissen der pharmakologischen und toxikologischen Studien in Beziehung zu setzen. Zur Bestimmung der Relevanz der Ergebnisse aus den toxikologischen Studien hinsichtlich der Toxizität für die Zieltierart ist in Teil 4 Kapitel I Abschnitt A.2 ein Vergleich mit den pharmakokinetischen Daten, die in Studien mit dieser Zieltierart gewonnen wurden, aufzunehmen.</w:t>
      </w:r>
    </w:p>
    <w:p>
      <w:pPr>
        <w:pStyle w:val="Heading1"/>
      </w:pPr>
      <w:r>
        <w:t>ANHANG II (Fortsetzung)</w:t>
      </w:r>
    </w:p>
    <w:p>
      <w:pPr>
        <w:pStyle w:val="Heading2"/>
      </w:pPr>
      <w:r>
        <w:t>3. Toxikologie</w:t>
      </w:r>
    </w:p>
    <w:p>
      <w:r>
        <w:t>Die Toxikologieunterlagen müssen den Leitlinien der Agentur über den allgemeinen Ansatz für Prüfungen sowie den Leitlinien für spezielle Studien entsprechen. Dazu gehört Folgendes:</w:t>
      </w:r>
    </w:p>
    <w:p>
      <w:r>
        <w:t>1. grundlegende Prüfungen für alle neuen Tierarzneimittel, die für zur Lebensmittelherstellung verwendete Tiere bestimmt sind, zur Beurteilung der Unbedenklichkeit etwaiger Rückstände in Lebensmitteln für den menschlichen Verzehr;</w:t>
      </w:r>
    </w:p>
    <w:p>
      <w:r>
        <w:t>2. zusätzliche Prüfungen, die je nach besonderen toxikologischen Bedenken erforderlich sind, etwa im Zusammenhang mit Struktur, Gruppe und Wirkungsweise der Wirkstoffe;</w:t>
      </w:r>
    </w:p>
    <w:p>
      <w:r>
        <w:t>3. besondere Prüfungen zur besseren Interpretation der in den grundlegenden und zusätzlichen Prüfungen gewonnenen Daten.</w:t>
      </w:r>
    </w:p>
    <w:p>
      <w:r>
        <w:t>Die Studien sind nicht mit dem formulierten Produkt, sondern mit den Wirkstoffen durchzuführen. Sind Studien mit dem formulierten Produkt erforderlich, wird dies weiter unten ausdrücklich angegeben.</w:t>
      </w:r>
    </w:p>
    <w:p>
      <w:pPr>
        <w:pStyle w:val="Heading1"/>
      </w:pPr>
      <w:r>
        <w:t>ANHANG II (Fortsetzung)</w:t>
      </w:r>
    </w:p>
    <w:p>
      <w:pPr>
        <w:pStyle w:val="Heading2"/>
      </w:pPr>
      <w:r>
        <w:t>3.1. Toxizität bei einmaliger Verabreichung</w:t>
      </w:r>
    </w:p>
    <w:p>
      <w:r>
        <w:t>Die Prüfungen der Toxizität bei einmaliger Verabreichung können eingesetzt werden zur Prognose:</w:t>
      </w:r>
    </w:p>
    <w:p>
      <w:r>
        <w:t>— der möglichen Wirkungen einer akuten Überdosierung bei der Zieltierart;</w:t>
      </w:r>
    </w:p>
    <w:p>
      <w:r>
        <w:t>— der möglichen Wirkungen einer unbeabsichtigten Verabreichung an Menschen;</w:t>
      </w:r>
    </w:p>
    <w:p>
      <w:r>
        <w:t>— der Dosen, die bei Prüfungen der Toxizität bei wiederholter Verabreichung sinnvoll verwendet werden können.</w:t>
      </w:r>
    </w:p>
    <w:p>
      <w:r>
        <w:t>Prüfungen der Toxizität bei einmaliger Verabreichung sollten die akuten toxischen Wirkungen des Stoffs und den zeitlichen Ablauf ihres Einsetzens und Abklingens aufzeigen.</w:t>
      </w:r>
    </w:p>
    <w:p>
      <w:r>
        <w:t>Die durchzuführenden Studien werden im Hinblick auf Informationen zur Anwendersicherheit ausgewählt; ist z. B. mit einer erheblichen Exposition des Benutzers gegenüber dem Tierarzneimittel durch Inhalation oder Hautkontakt zu rechnen, sollten diese Verabreichungswege untersucht werden.</w:t>
      </w:r>
    </w:p>
    <w:p>
      <w:pPr>
        <w:pStyle w:val="Heading1"/>
      </w:pPr>
      <w:r>
        <w:t>ANHANG II (Fortsetzung)</w:t>
      </w:r>
    </w:p>
    <w:p>
      <w:pPr>
        <w:pStyle w:val="Heading2"/>
      </w:pPr>
      <w:r>
        <w:t>3.2. Toxizität bei wiederholter Verabreichung</w:t>
      </w:r>
    </w:p>
    <w:p>
      <w:r>
        <w:t>Die Prüfungen der Toxizität bei wiederholter Verabreichung haben zum Ziel, physiologische und/oder pathologische Veränderungen infolge wiederholter Verabreichung eines wirksamen Bestandteils bzw. einer Wirkstoffkombination festzustellen und die Dosierungen zu ermitteln, die für das Auftreten dieser Veränderungen verantwortlich sind.</w:t>
      </w:r>
    </w:p>
    <w:p>
      <w:r>
        <w:t>Bei pharmakologisch wirksamen Stoffen oder bei Tierarzneimitteln, die ausschließlich zur Verwendung bei Tieren bestimmt sind, die nicht für die Lebensmittelgewinnung genutzt werden, ist normalerweise eine Prüfung der Toxizität bei wiederholter Verabreichung an einer Versuchstierart ausreichend. Diese Untersuchung kann durch eine Untersuchung am Zieltier ersetzt werden. Häufigkeit und Weg der Verabreichung sowie die Dauer des Versuchs sind unter Berücksichtigung der vorgeschlagenen klinischen Anwendungsbedingungen anzusetzen. Der Versuchsleiter muss Umfang und Dauer der Versuche sowie die gewählten Dosierungen begründen.</w:t>
      </w:r>
    </w:p>
    <w:p>
      <w:r>
        <w:t>Bei Stoffen oder Tierarzneimitteln, die zur Verwendung bei Tieren bestimmt sind, die für die Herstellung von Lebensmitteln genutzt werden, ist eine Toxizitätsprüfung bei wiederholter Verabreichung (90 Tage) mit einem Nagetier und einer anderen Tierart durchzuführen, um die Zielorgane und die toxikologischen Endpunkte festzustellen und um gegebenenfalls die geeigneten Tierarten und die geeignete Dosierung für die Prüfung der chronischen Toxizität zu ermitteln.</w:t>
      </w:r>
    </w:p>
    <w:p>
      <w:r>
        <w:t>Der Versuchsleiter muss die Wahl der Arten unter Berücksichtigung der vorliegenden Kenntnisse über den Stoffwechsel des Arzneimittels in Tier und Mensch begründen. Die Prüfsubstanz ist oral zu verabreichen. Der Versuchsleiter muss seine Gründe für die Art und Häufigkeit der Verabreichung sowie die Versuchsdauer genau angeben.</w:t>
      </w:r>
    </w:p>
    <w:p>
      <w:r>
        <w:t>Die Höchstdosis ist normalerweise so anzusetzen, dass schädliche Wirkungen erkennbar werden. Bei der niedrigsten Dosis dürfen keine Anzeichen von Toxizität auftreten.</w:t>
      </w:r>
    </w:p>
    <w:p>
      <w:r>
        <w:t>Die Bewertung der toxischen Wirkungen basiert auf Beobachtungen des Verhaltens und Wachstums sowie auf hämatologischen und physiologischen Parametern, insbesondere bezüglich der Ausscheidungsorgane, sowie auf Autopsieberichten und zusätzlichen histologischen Daten. Wahl und Umfang jeder Versuchsgruppe sind von der verwendeten Tierart und dem Stand der derzeitigen wissenschaftlichen Kenntnisse abhängig.</w:t>
      </w:r>
    </w:p>
    <w:p>
      <w:r>
        <w:t>Bei neuen Kombinationen bekannter Stoffe, die gemäß den Bestimmungen dieser Richtlinie untersucht wurden, können die Prüfungen der Toxizität bei wiederholter Verabreichung vom Versuchsleiter mit entsprechender Begründung in angemessener Weise abgeändert werden, es sei denn, dass diese Prüfungen Potenzierungserscheinungen oder neue toxische Wirkungen aufgezeigt haben.</w:t>
      </w:r>
    </w:p>
    <w:p>
      <w:pPr>
        <w:pStyle w:val="Heading1"/>
      </w:pPr>
      <w:r>
        <w:t>ANHANG II (Fortsetzung)</w:t>
      </w:r>
    </w:p>
    <w:p>
      <w:pPr>
        <w:pStyle w:val="Heading2"/>
      </w:pPr>
      <w:r>
        <w:t>3.3. Verträglichkeit bei der Zieltierart</w:t>
      </w:r>
    </w:p>
    <w:p>
      <w:r>
        <w:t>Alle Anzeichen von Unverträglichkeit, die bei der Zieltierart im Verlauf der üblicherweise mit der endgültigen Formulierung durchgeführten Versuche aufgetreten sind, müssen gemäß den Vorschriften in Teil 4 Kapitel I Abschnitt B, zusammenfassend angegeben werden. Die betreffenden Untersuchungen, die Dosierungen, die die Unverträglichkeit hervorgerufen haben sowie die betreffenden Arten und Rassen sind zu beschreiben. Ferner sind alle unerwarteten physiologischen Veränderungen im Detail anzugeben. Teil 4 muss die vollständigen Berichte dieser Studien enthalten.</w:t>
      </w:r>
    </w:p>
    <w:p>
      <w:pPr>
        <w:pStyle w:val="Heading1"/>
      </w:pPr>
      <w:r>
        <w:t>ANHANG II (Fortsetzung)</w:t>
      </w:r>
    </w:p>
    <w:p>
      <w:pPr>
        <w:pStyle w:val="Heading2"/>
      </w:pPr>
      <w:r>
        <w:t>3.4. Reproduktions- und Entwicklungstoxizität</w:t>
      </w:r>
    </w:p>
    <w:p>
      <w:pPr>
        <w:pStyle w:val="Heading1"/>
      </w:pPr>
      <w:r>
        <w:t>ANHANG II (Fortsetzung)</w:t>
      </w:r>
    </w:p>
    <w:p>
      <w:pPr>
        <w:pStyle w:val="Heading2"/>
      </w:pPr>
      <w:r>
        <w:t>3.4.1. Untersuchungen der Auswirkungen auf die Fortpflanzung</w:t>
      </w:r>
    </w:p>
    <w:p>
      <w:r>
        <w:t>Zweck dieser Untersuchungen ist es, eine mögliche Beeinträchtigung der männlichen oder weiblichen Fortpflanzungsfähigkeit oder nachteilige Folgen für die Nachkommenschaft aufzuzeigen, die sich aus der Verabreichung des zu prüfenden Tierarzneimittels oder Stoffes ergeben.</w:t>
      </w:r>
    </w:p>
    <w:p>
      <w:r>
        <w:t>Bei pharmakologisch wirksamen Stoffen oder bei Tierarzneimitteln, die zur Verwendung bei Tieren bestimmt sind, die für die Herstellung von Lebensmitteln genutzt werden, sind die Auswirkungen auf die Fortpflanzung von Säugetieren in Form von Mehrgenerationenstudien zu untersuchen. Dazu gehören Wirkungen auf die Fruchtbarkeit bei Männchen und Weibchen, auf Paarung, Empfängnis, Nidation, auf die Fähigkeit zur Austragung der Frucht, auf Geburt, Laktation, Überleben, Wachstum und Entwicklung des Nachwuchses von der Geburt bis zur Entwöhnung, auf Geschlechtsreife und auf die anschließende Fortpflanzungsfähigkeit des Nachwuchses als erwachsene Tiere. Es sind mindestens drei Dosierungen anzuwenden. Die höchste Dosis ist so anzusetzen, dass schädliche Wirkungen erkennbar werden. Bei der niedrigsten Dosis dürfen keine Anzeichen von Toxizität auftreten.</w:t>
      </w:r>
    </w:p>
    <w:p>
      <w:pPr>
        <w:pStyle w:val="Heading1"/>
      </w:pPr>
      <w:r>
        <w:t>ANHANG II (Fortsetzung)</w:t>
      </w:r>
    </w:p>
    <w:p>
      <w:pPr>
        <w:pStyle w:val="Heading2"/>
      </w:pPr>
      <w:r>
        <w:t>3.4.2. Untersuchung der Auswirkungen auf die Entwicklungsfähigkeit</w:t>
      </w:r>
    </w:p>
    <w:p>
      <w:r>
        <w:t>Bei pharmakologisch wirksamen Stoffen oder bei Tierarzneimitteln, die zur Verwendung bei Tieren bestimmt sind, die für die Herstellung von Lebensmitteln genutzt werden, ist die Entwicklungstoxizität zu untersuchen. Diese Prüfungen sind auf die Ermittlung etwaiger Nebenwirkungen für trächtige Weibchen und für die Entwicklung des Embryos und des Fötus aufgrund einer Exposition des Weibchens von der Einnistung über die Trächtigkeit bis zum Tag vor dem errechneten Zeitpunkt der Geburt auszurichten. Zu derartigen Nebenwirkungen gehören eine im Vergleich zu nichtträchtigen Weibchen beobachtete verstärkte Toxizität, das Absterben von Embryos/Föten, ein verändertes fötales Wachstum sowie eine veränderte Ausbildung des Fötus. Es ist eine Prüfung der Entwicklungstoxizität bei Ratten vorgeschrieben. Je nach Ergebnis muss eine Studie an einer zweiten Tierart durchgeführt werden; hierfür sind die festgelegten Leitlinien maßgeblich.</w:t>
      </w:r>
    </w:p>
    <w:p>
      <w:r>
        <w:t>Bei pharmakologisch wirksamen Stoffen oder bei Tierarzneimitteln, die nicht zur Verwendung bei Tieren bestimmt sind, die für die Herstellung von Lebensmitteln genutzt werden, ist die Entwicklungstoxizität bei mindestens einer Tierart — bei der es sich um die Zieltierart handeln kann — vorgeschrieben, sofern es sich um ein Arzneimittel handelt, das bei weiblichen Tieren verwendet werden soll, die möglicherweise für Zuchtzwecke eingesetzt werden. Würde jedoch die Verwendung des Tierarzneimittels zu einer signifikanten Exposition der Anwender führen, sind die Standardprüfungen zur Entwicklungstoxizität durchzuführen.</w:t>
      </w:r>
    </w:p>
    <w:p>
      <w:pPr>
        <w:pStyle w:val="Heading1"/>
      </w:pPr>
      <w:r>
        <w:t>ANHANG II (Fortsetzung)</w:t>
      </w:r>
    </w:p>
    <w:p>
      <w:pPr>
        <w:pStyle w:val="Heading2"/>
      </w:pPr>
      <w:r>
        <w:t>3.5. Genotoxizität</w:t>
      </w:r>
    </w:p>
    <w:p>
      <w:r>
        <w:t>Das genotoxische Potenzial ist zu untersuchen, um etwaige Veränderungen zu ermitteln, die ein Stoff am genetischen Material von Zellen verursachen kann. Alle Stoffe, die zum ersten Mal in einem Tierarzneimittel verwendet werden, sind auf ihre genotoxischen Eigenschaften hin zu beurteilen.</w:t>
      </w:r>
    </w:p>
    <w:p>
      <w:r>
        <w:t>Zur Prüfung der Genotoxizität ist normalerweise eine Standardbatterie von In- vitro- und In-vivo-Prüfungen mit den Wirkstoffen in Übereinstimmung mit den festgelegten Leitlinien durchzuführen. In manchen Fällen kann es auch erforderlich sein, einen oder mehrere Metaboliten zu prüfen, die als Rückstände in Lebensmitteln auftreten.</w:t>
      </w:r>
    </w:p>
    <w:p>
      <w:pPr>
        <w:pStyle w:val="Heading1"/>
      </w:pPr>
      <w:r>
        <w:t>ANHANG II (Fortsetzung)</w:t>
      </w:r>
    </w:p>
    <w:p>
      <w:pPr>
        <w:pStyle w:val="Heading2"/>
      </w:pPr>
      <w:r>
        <w:t>3.6. Kanzerogenität</w:t>
      </w:r>
    </w:p>
    <w:p>
      <w:r>
        <w:t>Bei der Entscheidung über die Notwendigkeit einer Kanzerogenitätsprüfung sind die Ergebnisse von Genotoxizitätsprüfungen, die Struktur-Wirkungs-Beziehungen und die Ergebnisse von Untersuchungen auf systemische Toxizität zu berücksichtigen, die für neoplastische Schädigungen in Langzeitstudien relevant sein können.</w:t>
      </w:r>
    </w:p>
    <w:p>
      <w:r>
        <w:t>Es sind alle bekannten artspezifischen Toxizitätsmechanismen sowie die Unterschiede im Metabolismus zwischen der in den Prüfungen verwendeten Tierart, der Zieltierart und dem Menschen zu berücksichtigen.</w:t>
      </w:r>
    </w:p>
    <w:p>
      <w:r>
        <w:t>Ist eine Kanzerogenitätsprüfung erforderlich, muss im Allgemeinen eine zweijährige Studie an Ratten und eine 18-monatige Studie an Mäusen durchgeführt werden. Kann dies wissenschaftlich hinreichend begründet werden, können sich die Kanzerogenitätsprüfungen auf eine Nagetierart, vorzugsweise Ratten, beschränken.</w:t>
      </w:r>
    </w:p>
    <w:p>
      <w:pPr>
        <w:pStyle w:val="Heading1"/>
      </w:pPr>
      <w:r>
        <w:t>ANHANG II (Fortsetzung)</w:t>
      </w:r>
    </w:p>
    <w:p>
      <w:pPr>
        <w:pStyle w:val="Heading2"/>
      </w:pPr>
      <w:r>
        <w:t>3.7. Ausnahmen</w:t>
      </w:r>
    </w:p>
    <w:p>
      <w:r>
        <w:t>Sofern ein Tierarzneimittel zur topischen Anwendung bestimmt ist, muss die systemische Absorption an der Zieltierart geprüft werden. Wenn nachgewiesen ist, dass die systemische Absorption unerheblich ist, kann auf die Prüfungen der Toxizität bei wiederholter Verabreichung, die Versuche zur Reproduktionstoxizität und die Kanzerogenitätsprüfungen verzichtet werden, es sei denn, dass</w:t>
      </w:r>
    </w:p>
    <w:p>
      <w:r>
        <w:t>— unter den festgelegten Anwendungsbedingungen eine orale Aufnahme des Tierarzneimittels durch das Tier zu erwarten ist,</w:t>
      </w:r>
    </w:p>
    <w:p>
      <w:r>
        <w:t>— unter den festgelegten Anwendungsbedingungen eine Exposition des Anwenders des Tierarzneimittels auf einem anderen Weg als über die Haut zu erwarten ist oder</w:t>
      </w:r>
    </w:p>
    <w:p>
      <w:r>
        <w:t>— der Wirkstoff oder seine Metaboliten in Lebensmittel übergehen, die von dem behandelten Tier stammen.</w:t>
      </w:r>
    </w:p>
    <w:p>
      <w:pPr>
        <w:pStyle w:val="Heading1"/>
      </w:pPr>
      <w:r>
        <w:t>ANHANG II (Fortsetzung)</w:t>
      </w:r>
    </w:p>
    <w:p>
      <w:pPr>
        <w:pStyle w:val="Heading2"/>
      </w:pPr>
      <w:r>
        <w:t>4. Sonstige Vorschriften</w:t>
      </w:r>
    </w:p>
    <w:p>
      <w:pPr>
        <w:pStyle w:val="Heading1"/>
      </w:pPr>
      <w:r>
        <w:t>ANHANG II (Fortsetzung)</w:t>
      </w:r>
    </w:p>
    <w:p>
      <w:pPr>
        <w:pStyle w:val="Heading2"/>
      </w:pPr>
      <w:r>
        <w:t>4.1. Spezielle Untersuchungen</w:t>
      </w:r>
    </w:p>
    <w:p>
      <w:r>
        <w:t>Bei bestimmten Stoffgruppen oder wenn die im Verlauf der Prüfungen bei wiederholter Verabreichung an Tiere beobachteten Wirkungen Veränderungen umfassen, die beispielsweise auf Immunotoxizität, Neurotoxizität oder endokrine Dysfunktion hindeuten, sind weitere Prüfungen erforderlich, z. B. Sensibilisierungsstudien oder Prüfungen auf verzögerte Neurotoxizität. Je nach Art des Arzneimittels kann es erforderlich sein, zusätzliche Studien zur Beurteilung der Mechanismen durchzuführen, die der toxischen Wirkung oder dem Reizpotenzial zugrunde liegen. Derartige Studien werden normalerweise mit der endgültigen Formulierung durchgeführt.</w:t>
      </w:r>
    </w:p>
    <w:p>
      <w:r>
        <w:t>Bei der Konzeption solcher Untersuchungen und der Bewertung ihrer Ergebnisse sind der Stand der wissenschaftlichen Kenntnisse sowie die festgelegten Leitlinien zu berücksichtigen.</w:t>
      </w:r>
    </w:p>
    <w:p>
      <w:pPr>
        <w:pStyle w:val="Heading1"/>
      </w:pPr>
      <w:r>
        <w:t>ANHANG II (Fortsetzung)</w:t>
      </w:r>
    </w:p>
    <w:p>
      <w:pPr>
        <w:pStyle w:val="Heading2"/>
      </w:pPr>
      <w:r>
        <w:t>4.2. Mikrobiologische Eigenschaften von Rückständen</w:t>
      </w:r>
    </w:p>
    <w:p>
      <w:pPr>
        <w:pStyle w:val="Heading1"/>
      </w:pPr>
      <w:r>
        <w:t>ANHANG II (Fortsetzung)</w:t>
      </w:r>
    </w:p>
    <w:p>
      <w:pPr>
        <w:pStyle w:val="Heading2"/>
      </w:pPr>
      <w:r>
        <w:t>4.2.1. Potenzielle Auswirkungen auf die Darmflora des Menschen</w:t>
      </w:r>
    </w:p>
    <w:p>
      <w:r>
        <w:t>Das potenzielle mikrobiologische Risiko, das Rückstände antimikrobieller Verbindungen für die menschliche Darmflora darstellen, ist gemäß den festgelegten Leitlinien zu untersuchen.</w:t>
      </w:r>
    </w:p>
    <w:p>
      <w:pPr>
        <w:pStyle w:val="Heading1"/>
      </w:pPr>
      <w:r>
        <w:t>ANHANG II (Fortsetzung)</w:t>
      </w:r>
    </w:p>
    <w:p>
      <w:pPr>
        <w:pStyle w:val="Heading2"/>
      </w:pPr>
      <w:r>
        <w:t>4.2.2. Potenzielle Auswirkungen auf die Mikroorganismen, die bei der industriellen Lebensmittelbearbeitung und -verarbeitung Anwendung finden</w:t>
      </w:r>
    </w:p>
    <w:p>
      <w:r>
        <w:t>In bestimmten Fällen kann es notwendig sein, Prüfungen durchzuführen, um festzustellen, ob sich mikrobiologisch wirksame Rückstände negativ auf technologische Prozesse in der industriellen Lebensmittelbearbeitung und -verarbeitung auswirken.</w:t>
      </w:r>
    </w:p>
    <w:p>
      <w:pPr>
        <w:pStyle w:val="Heading1"/>
      </w:pPr>
      <w:r>
        <w:t>ANHANG II (Fortsetzung)</w:t>
      </w:r>
    </w:p>
    <w:p>
      <w:pPr>
        <w:pStyle w:val="Heading2"/>
      </w:pPr>
      <w:r>
        <w:t>4.3. Beobachtungen am Menschen</w:t>
      </w:r>
    </w:p>
    <w:p>
      <w:r>
        <w:t>Es sind Angaben vorzulegen, die Aufschluss darüber geben, ob die pharmakologisch wirksamen Stoffe des Tierarzneimittels als Arzneimittel in der Humanmedizin angewandt werden. Trifft dies zu, sind alle am Menschen festgestellten Wirkungen (einschließlich Nebenwirkungen) und deren Ursachen zusammenzustellen, sofern sie für die Beurteilung der Unbedenklichkeit des Tierarzneimittels von Bedeutung sein können; dabei sind gegebenenfalls die Ergebnisse veröffentlichter Studien zu berücksichtigen. Sofern Bestandteile der Tierarzneimittel als solche nicht bzw. nicht mehr als Arzneimittel in der Humantherapie angewandt werden, ist dies zu begründen.</w:t>
      </w:r>
    </w:p>
    <w:p>
      <w:pPr>
        <w:pStyle w:val="Heading1"/>
      </w:pPr>
      <w:r>
        <w:t>ANHANG II (Fortsetzung)</w:t>
      </w:r>
    </w:p>
    <w:p>
      <w:pPr>
        <w:pStyle w:val="Heading2"/>
      </w:pPr>
      <w:r>
        <w:t>4.4. Resistenzentwicklung</w:t>
      </w:r>
    </w:p>
    <w:p>
      <w:r>
        <w:t>Bei Tierarzneimitteln sind Angaben über das potenzielle Auftreten resistenter Bakterien, die für die menschliche Gesundheit von Belang sind, erforderlich. Dabei ist besonders wichtig, durch welchen Mechanismus sich derartige Resistenzen entwickeln. Falls erforderlich, müssen Maßnahmen vorgeschlagen werden, durch die sich die Entwicklung einer Resistenz gegen den Verwendungszweck des Tierarzneimittels begrenzen lässt.</w:t>
      </w:r>
    </w:p>
    <w:p>
      <w:r>
        <w:t>Ist eine solche Resistenz für die klinische Anwendung des Arzneimittels relevant, ist dies gemäß Teil 4 zu behandeln. Gegebenenfalls sind Querverweise zu den in Teil 4 aufgeführten Angaben zu machen.</w:t>
      </w:r>
    </w:p>
    <w:p>
      <w:pPr>
        <w:pStyle w:val="Heading1"/>
      </w:pPr>
      <w:r>
        <w:t>ANHANG II (Fortsetzung)</w:t>
      </w:r>
    </w:p>
    <w:p>
      <w:pPr>
        <w:pStyle w:val="Heading2"/>
      </w:pPr>
      <w:r>
        <w:t>5. Anwendersicherheit</w:t>
      </w:r>
    </w:p>
    <w:p>
      <w:r>
        <w:t>In diesem Abschnitt ist eine Erörterung der in den vorausgegangenen Abschnitten festgestellten Wirkungen aufzunehmen, und diese Wirkungen sind mit Art und Umfang der menschlichen Exposition gegenüber dem Arzneimittel in Beziehung zu setzen, damit zweckdienliche Warnhinweise für die Anwender formuliert und andere Risikomanagement-Maßnahmen ergriffen werden können.</w:t>
      </w:r>
    </w:p>
    <w:p>
      <w:pPr>
        <w:pStyle w:val="Heading1"/>
      </w:pPr>
      <w:r>
        <w:t>ANHANG II (Fortsetzung)</w:t>
      </w:r>
    </w:p>
    <w:p>
      <w:pPr>
        <w:pStyle w:val="Heading2"/>
      </w:pPr>
      <w:r>
        <w:t>6. Umweltverträglichkeitsprüfung</w:t>
      </w:r>
    </w:p>
    <w:p>
      <w:pPr>
        <w:pStyle w:val="Heading1"/>
      </w:pPr>
      <w:r>
        <w:t>ANHANG II (Fortsetzung)</w:t>
      </w:r>
    </w:p>
    <w:p>
      <w:pPr>
        <w:pStyle w:val="Heading2"/>
      </w:pPr>
      <w:r>
        <w:t>6.1. Umweltverträglichkeitsprüfung für Tierarzneimittel, die genetisch veränderte Organismen weder enthalten noch aus solchen bestehen</w:t>
      </w:r>
    </w:p>
    <w:p>
      <w:r>
        <w:t>Es ist eine Umweltverträglichkeitsprüfung zur Beurteilung potenziell schädlicher Wirkungen, die sich durch die Anwendung des Tierarzneimittels für die Umwelt ergeben können, sowie zur Ermittlung der Risiken solcher Wirkungen durchzuführen. Im Rahmen der Beurteilung sind außerdem die zur Herabsetzung solcher Risiken gegebenenfalls erforderlichen Vorsichtsmaßnahmen festzustellen.</w:t>
      </w:r>
    </w:p>
    <w:p>
      <w:r>
        <w:t>Die Beurteilung erfolgt normalerweise in zwei Phasen. Die erste Beurteilungsphase ist immer durchzuführen. Die Einzelheiten der Beurteilung sind gemäß den festgelegten Leitlinien bereitzustellen. Die potenzielle Exposition der Umwelt gegenüber dem Arzneimittel sowie das Ausmaß des mit einer solchen Exposition verbundenen Risikos sind unter Berücksichtigung folgender Elemente anzugeben:</w:t>
      </w:r>
    </w:p>
    <w:p>
      <w:r>
        <w:t>— der Zieltierart und der vorgeschlagenen Anwendungsschemata,</w:t>
      </w:r>
    </w:p>
    <w:p>
      <w:r>
        <w:t>— der Verabreichungsart, insbesondere des wahrscheinlichen Ausmaßes eines direkten Eintritts des Arzneimittels in Umweltsysteme;</w:t>
      </w:r>
    </w:p>
    <w:p>
      <w:r>
        <w:t>— der möglichen Ausscheidung des Arzneimittels, seiner Wirkstoffe oder relevanten Metaboliten in die Umwelt durch behandelte Tiere, deren Persistenz in solchen Ausscheidungen;</w:t>
      </w:r>
    </w:p>
    <w:p>
      <w:r>
        <w:t>— der Beseitigung des nicht verwendeten Tierarzneimittels oder anderer Abfälle.</w:t>
      </w:r>
    </w:p>
    <w:p>
      <w:r>
        <w:t>In der zweiten Phase sind weitere Untersuchungen über das Verhalten und die Wirkungen des Arzneimittels auf besondere Ökosysteme gemäß den festgelegten Leitlinien erforderlich. Das Ausmaß der Exposition der Umwelt gegenüber dem Arzneimittel und die verfügbaren Informationen über die physikalisch/chemischen, pharmakologischen und/oder toxikologischen Eigenschaften der betreffenden Wirkstoffe, einschließlich der Metaboliten bei einem erkannten Risiko, die im Verlauf der sonstigen gemäß dieser Richtlinie erforderlichen Versuche und Prüfungen gewonnen wurden, sind zu berücksichtigen.</w:t>
      </w:r>
    </w:p>
    <w:p>
      <w:pPr>
        <w:pStyle w:val="Heading1"/>
      </w:pPr>
      <w:r>
        <w:t>ANHANG II (Fortsetzung)</w:t>
      </w:r>
    </w:p>
    <w:p>
      <w:pPr>
        <w:pStyle w:val="Heading2"/>
      </w:pPr>
      <w:r>
        <w:t>6.2. Umweltverträglichkeitsprüfung für Tierarzneimittel, die genetisch veränderte Organismen enthalten oder aus solchen bestehen</w:t>
      </w:r>
    </w:p>
    <w:p>
      <w:r>
        <w:t>Bei einem Tierarzneimittel, das genetisch veränderte Organismen enthält oder aus solchen besteht, muss der Antrag die Unterlagen gemäß Artikel 2 und Teil C der Richtlinie 2001/18/EG umfassen.</w:t>
      </w:r>
    </w:p>
    <w:p>
      <w:pPr>
        <w:pStyle w:val="Heading1"/>
      </w:pPr>
      <w:r>
        <w:t>ANHANG II (Fortsetzung)</w:t>
      </w:r>
    </w:p>
    <w:p>
      <w:pPr>
        <w:pStyle w:val="Heading2"/>
      </w:pPr>
      <w:r>
        <w:t>Kapitel II</w:t>
      </w:r>
    </w:p>
    <w:p>
      <w:pPr>
        <w:pStyle w:val="Heading1"/>
      </w:pPr>
      <w:r>
        <w:t>ANHANG II (Fortsetzung)</w:t>
      </w:r>
    </w:p>
    <w:p>
      <w:pPr>
        <w:pStyle w:val="Heading2"/>
      </w:pPr>
      <w:r>
        <w:t>Vorlage der angaben und unterlagen</w:t>
      </w:r>
    </w:p>
    <w:p>
      <w:r>
        <w:t>Die Unterlagen über Unbedenklichkeitsprüfungen müssen Folgendes umfassen:</w:t>
      </w:r>
    </w:p>
    <w:p>
      <w:r>
        <w:t>— eine Aufstellung aller in die Unterlagen aufgenommenen Studien,</w:t>
      </w:r>
    </w:p>
    <w:p>
      <w:r>
        <w:t>— eine Erklärung, dass alle dem Antragsteller zum Zeitpunkt der Einreichung bekannten Daten sowohl günstige als auch ungünstige aufgenommen wurden,</w:t>
      </w:r>
    </w:p>
    <w:p>
      <w:r>
        <w:t>— eine Begründung für die etwaige Auslassung eines Studientyps,</w:t>
      </w:r>
    </w:p>
    <w:p>
      <w:r>
        <w:t>— eine Erklärung für die Aufnahme eines alternativen Studientyps,</w:t>
      </w:r>
    </w:p>
    <w:p>
      <w:r>
        <w:t>— eine Erörterung der Frage, inwieweit eine Studie, die noch aus der Zeit vor Einführung der Guten Laborpraxis (GLP) gemäß der Richtlinie 2004/10/EG stammt, für die Gesamtrisikobeurteilung relevant ist.</w:t>
      </w:r>
    </w:p>
    <w:p>
      <w:r>
        <w:t>Jeder Studienbericht enthält Folgendes:</w:t>
      </w:r>
    </w:p>
    <w:p>
      <w:r>
        <w:t>— eine Kopie der Studienplanung (Protokoll),</w:t>
      </w:r>
    </w:p>
    <w:p>
      <w:r>
        <w:t>— gegebenenfalls eine Erklärung, dass die Gute Laborpraxis eingehalten wurde,</w:t>
      </w:r>
    </w:p>
    <w:p>
      <w:r>
        <w:t>— eine Beschreibung der angewandten Methoden sowie der verwendeten Geräte und Materialien,</w:t>
      </w:r>
    </w:p>
    <w:p>
      <w:r>
        <w:t>— eine Beschreibung und Begründung des Prüfsystems,</w:t>
      </w:r>
    </w:p>
    <w:p>
      <w:r>
        <w:t>— eine Beschreibung der erzielten Ergebnisse, die so ausführlich sein muss, dass die Ergebnisse unabhängig von ihren Interpretationen durch den Autor kritisch bewertet werden können,</w:t>
      </w:r>
    </w:p>
    <w:p>
      <w:r>
        <w:t>— gegebenenfalls eine statistische Analyse der Ergebnisse,</w:t>
      </w:r>
    </w:p>
    <w:p>
      <w:r>
        <w:t>— eine Erörterung der Ergebnisse mit Kommentaren zu OEL und NOEL sowie zu ungewöhnlichen Ergebnissen,</w:t>
      </w:r>
    </w:p>
    <w:p>
      <w:r>
        <w:t>— eine detaillierte Beschreibung und eingehende Erörterung der Ergebnisse der Versuche über die Unbedenklichkeit des Wirkstoffs und deren Relevanz für die Bewertung potenzieller Risiken von Rückständen für den Menschen.</w:t>
      </w:r>
    </w:p>
    <w:p>
      <w:pPr>
        <w:pStyle w:val="Heading1"/>
      </w:pPr>
      <w:r>
        <w:t>ANHANG II (Fortsetzung)</w:t>
      </w:r>
    </w:p>
    <w:p>
      <w:pPr>
        <w:pStyle w:val="Heading2"/>
      </w:pPr>
      <w:r>
        <w:t>B. RÜCKSTANDSVERSUCHE</w:t>
      </w:r>
    </w:p>
    <w:p>
      <w:pPr>
        <w:pStyle w:val="Heading1"/>
      </w:pPr>
      <w:r>
        <w:t>ANHANG II (Fortsetzung)</w:t>
      </w:r>
    </w:p>
    <w:p>
      <w:pPr>
        <w:pStyle w:val="Heading2"/>
      </w:pPr>
      <w:r>
        <w:t>Kapitel I</w:t>
      </w:r>
    </w:p>
    <w:p>
      <w:pPr>
        <w:pStyle w:val="Heading1"/>
      </w:pPr>
      <w:r>
        <w:t>ANHANG II (Fortsetzung)</w:t>
      </w:r>
    </w:p>
    <w:p>
      <w:pPr>
        <w:pStyle w:val="Heading2"/>
      </w:pPr>
      <w:r>
        <w:t>Durchführung der versuche</w:t>
      </w:r>
    </w:p>
    <w:p>
      <w:pPr>
        <w:pStyle w:val="Heading1"/>
      </w:pPr>
      <w:r>
        <w:t>ANHANG II (Fortsetzung)</w:t>
      </w:r>
    </w:p>
    <w:p>
      <w:pPr>
        <w:pStyle w:val="Heading2"/>
      </w:pPr>
      <w:r>
        <w:t>1. Einleitung</w:t>
      </w:r>
    </w:p>
    <w:p>
      <w:r>
        <w:t>Für diesen Anhang gelten die Begriffsbestimmungen der Verordnung (EWG) Nr. 2377/90 des Rates.</w:t>
      </w:r>
    </w:p>
    <w:p>
      <w:r>
        <w:t>Mit der Untersuchung des Abbaus von Rückständen in essbaren Geweben oder Eiern, Milch und Honig, die von behandelten Tieren gewonnen wurden, soll festgestellt werden, unter welchen Bedingungen und in welchem Umfang Rückstände in von behandelten Tieren stammenden Lebensmitteln bestehen bleiben. Außerdem dienen diese Untersuchungen dazu, Wartezeiten festzulegen.</w:t>
      </w:r>
    </w:p>
    <w:p>
      <w:r>
        <w:t>Bei Tierarzneimitteln, die für zur Nahrungsmittelerzeugung genutzte Tiere bestimmt sind, muss aus den Rückstandsunterlagen Folgendes hervorgehen:</w:t>
      </w:r>
    </w:p>
    <w:p>
      <w:r>
        <w:t>1. in welchem Umfang und wie lange Rückstände der Tierarzneimittel oder deren Metaboliten in den essbaren Geweben oder in Milch, Eiern und/oder Honig der behandelten Tiere bestehen bleiben;</w:t>
      </w:r>
    </w:p>
    <w:p>
      <w:r>
        <w:t>2. dass es möglich ist, realistische Wartezeiten festzulegen, die in der Tierzucht auch praktisch eingehalten werden können, um alle Risiken für die Gesundheit der Verbraucher von Lebensmitteln, die von behandelten Tieren stammen, sowie Schwierigkeiten in der industriellen Lebensmittelbearbeitung und -verarbeitung zu vermeiden;</w:t>
      </w:r>
    </w:p>
    <w:p>
      <w:r>
        <w:t>3. dass die Analyseverfahren, die für die Untersuchung des Abbaus von Rückständen verwendet werden, hinreichend validiert sind, sodass mit der erforderlichen Sicherheit davon ausgegangen werden kann, dass die vorgelegten Rückstandsdaten als Grundlage für die Festsetzung einer Wartezeit ausreichen.</w:t>
      </w:r>
    </w:p>
    <w:p>
      <w:pPr>
        <w:pStyle w:val="Heading1"/>
      </w:pPr>
      <w:r>
        <w:t>ANHANG II (Fortsetzung)</w:t>
      </w:r>
    </w:p>
    <w:p>
      <w:pPr>
        <w:pStyle w:val="Heading2"/>
      </w:pPr>
      <w:r>
        <w:t>2. Stoffwechsel und Rückstandskinetik</w:t>
      </w:r>
    </w:p>
    <w:p>
      <w:pPr>
        <w:pStyle w:val="Heading1"/>
      </w:pPr>
      <w:r>
        <w:t>ANHANG II (Fortsetzung)</w:t>
      </w:r>
    </w:p>
    <w:p>
      <w:pPr>
        <w:pStyle w:val="Heading2"/>
      </w:pPr>
      <w:r>
        <w:t>2.1. Pharmakokinetik (Absorption, Verteilung, Stoffwechsel, Ausscheidung)</w:t>
      </w:r>
    </w:p>
    <w:p>
      <w:r>
        <w:t>Es ist eine Zusammenfassung der Pharmakokinetik-Daten samt Querverweisen auf die Pharmakokinetik-Studien an Zieltierarten einzureichen, die nach Teil 4 vorzulegen sind. Der komplette Studienbericht braucht nicht vorgelegt zu werden.</w:t>
      </w:r>
    </w:p>
    <w:p>
      <w:r>
        <w:t>Zweck der pharmakokinetischen Studien über Rückstände von Tierarzneimitteln ist die Bewertung der Absorption, Verteilung, Metabolisierung und Ausscheidung des Arzneimittels in der Zieltierart.</w:t>
      </w:r>
    </w:p>
    <w:p>
      <w:r>
        <w:t>Das Fertigerzeugnis oder eine Formulierung, die bei der Bioverfügbarkeit vergleichbare Eigenschaften wie das Fertigerzeugnis aufweist, sind der Zieltierart in der höchsten empfohlenen Dosis zu verabreichen.</w:t>
      </w:r>
    </w:p>
    <w:p>
      <w:r>
        <w:t>Der Absorptionsgrad des Tierarzneimittels ist unter Berücksichtigung der Verabreichungsart genau zu beschreiben. Sofern nachgewiesen ist, dass die systemische Absorption von Arzneimitteln, die zur Oberflächenbehandlung bestimmt sind, unerheblich ist, sind keine weiteren Rückstandsversuche erforderlich.</w:t>
      </w:r>
    </w:p>
    <w:p>
      <w:r>
        <w:t>Die Verteilung des Tierarzneimittels im Zieltier ist zu beschreiben; die Möglichkeit der Plasmaproteinbindung oder des Übergangs in Milch oder Eier und der Akkumulation von lipophilen Verbindungen sind zu untersuchen.</w:t>
      </w:r>
    </w:p>
    <w:p>
      <w:r>
        <w:t>Die Wege, über die das Tierarzneimittel von dem Zieltier ausgeschieden wird, sind zu beschreiben. Die wichtigsten Metaboliten sind festzustellen und zu charakterisieren.</w:t>
      </w:r>
    </w:p>
    <w:p>
      <w:pPr>
        <w:pStyle w:val="Heading1"/>
      </w:pPr>
      <w:r>
        <w:t>ANHANG II (Fortsetzung)</w:t>
      </w:r>
    </w:p>
    <w:p>
      <w:pPr>
        <w:pStyle w:val="Heading2"/>
      </w:pPr>
      <w:r>
        <w:t>2.2. Abbau von Rückständen</w:t>
      </w:r>
    </w:p>
    <w:p>
      <w:r>
        <w:t>Zweck dieser Versuche, durch die die Geschwindigkeit gemessen wird, mit der Rückstände im Zieltier nach der letzten Verabreichung des Arzneimittels abgebaut werden, ist die Bestimmung von Wartezeiten.</w:t>
      </w:r>
    </w:p>
    <w:p>
      <w:r>
        <w:t>Mit ausreichender Häufigkeit sind die Rückstandsmengen nach Verabreichung der letzten Dosis des Tierarzneimittels an das Versuchstier durch validierte Analyseverfahren zu bestimmen; die technischen Verfahren sowie die Verlässlichkeit und Empfindlichkeit der angewandten Methoden sind zu spezifizieren.</w:t>
      </w:r>
    </w:p>
    <w:p>
      <w:pPr>
        <w:pStyle w:val="Heading1"/>
      </w:pPr>
      <w:r>
        <w:t>ANHANG II (Fortsetzung)</w:t>
      </w:r>
    </w:p>
    <w:p>
      <w:pPr>
        <w:pStyle w:val="Heading2"/>
      </w:pPr>
      <w:r>
        <w:t>3. Methoden der Rückstandsanalyse</w:t>
      </w:r>
    </w:p>
    <w:p>
      <w:r>
        <w:t>Die in den Studien über den Abbau von Rückständen verwendeten Analyseverfahren sind ausführlich zu beschreiben.</w:t>
      </w:r>
    </w:p>
    <w:p>
      <w:r>
        <w:t>Folgende Merkmale sind zu beschreiben:</w:t>
      </w:r>
    </w:p>
    <w:p>
      <w:r>
        <w:t>— Spezifität,</w:t>
      </w:r>
    </w:p>
    <w:p>
      <w:r>
        <w:t>— Genauigkeit,</w:t>
      </w:r>
    </w:p>
    <w:p>
      <w:r>
        <w:t>— Präzision,</w:t>
      </w:r>
    </w:p>
    <w:p>
      <w:r>
        <w:t>— Nachweisgrenze,</w:t>
      </w:r>
    </w:p>
    <w:p>
      <w:r>
        <w:t>— Bestimmungsgrenze,</w:t>
      </w:r>
    </w:p>
    <w:p>
      <w:r>
        <w:t>— Durchführbarkeit und Anwendbarkeit unter normalen Laborbedingungen,</w:t>
      </w:r>
    </w:p>
    <w:p>
      <w:r>
        <w:t>— Empfindlichkeit gegenüber Störungen,</w:t>
      </w:r>
    </w:p>
    <w:p>
      <w:r>
        <w:t>— Stabilität entstandener Rückstände.</w:t>
      </w:r>
    </w:p>
    <w:p>
      <w:r>
        <w:t>Die Eignung der vorgeschlagenen Analysemethoden ist vor dem Hintergrund des wissenschaftlichen und technischen Kenntnisstands zum Zeitpunkt der Antragstellung zu bewerten.</w:t>
      </w:r>
    </w:p>
    <w:p>
      <w:r>
        <w:t>Das Analyseverfahren ist in einem international anerkannten Format zu präsentieren.</w:t>
      </w:r>
    </w:p>
    <w:p>
      <w:pPr>
        <w:pStyle w:val="Heading1"/>
      </w:pPr>
      <w:r>
        <w:t>ANHANG II (Fortsetzung)</w:t>
      </w:r>
    </w:p>
    <w:p>
      <w:pPr>
        <w:pStyle w:val="Heading2"/>
      </w:pPr>
      <w:r>
        <w:t>Kapitel II</w:t>
      </w:r>
    </w:p>
    <w:p>
      <w:pPr>
        <w:pStyle w:val="Heading1"/>
      </w:pPr>
      <w:r>
        <w:t>ANHANG II (Fortsetzung)</w:t>
      </w:r>
    </w:p>
    <w:p>
      <w:pPr>
        <w:pStyle w:val="Heading2"/>
      </w:pPr>
      <w:r>
        <w:t>Vorlage der angaben und unterlagen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(9 von 12) Anhang II Wirkstoffe, 1.1.1. In Arzneibüchern aufgeführte</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