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IV ATMP (6 von 6) Kap 12-17 Qualitätskontrolle, Ausgelagerte Tätigkeiten, Qualitätsmängel</w:t>
      </w:r>
    </w:p>
    <w:p>
      <w:r>
        <w:t>Quelle: EU-GMP-Leitfaden, Teil IV (Bekanntmachung des BMG), https://www.bundesgesundheitsministerium.de/service/gesetze-und-verordnungen/bekanntmachungen</w:t>
      </w:r>
    </w:p>
    <w:p>
      <w:pPr>
        <w:pStyle w:val="Heading1"/>
      </w:pPr>
      <w:r>
        <w:t>12 Qualitätskontrolle</w:t>
      </w:r>
    </w:p>
    <w:p>
      <w:pPr>
        <w:pStyle w:val="Heading2"/>
      </w:pPr>
      <w:r>
        <w:t>12.1 Allgemeine Grundsätze</w:t>
      </w:r>
    </w:p>
    <w:p>
      <w:r>
        <w:t>12.10 Zweck der Qualitätskontrolle („QK“) ist es, sicherzustellen, dass die jeweils notwendigen und relevanten Prüfungen durchgeführt und weder Materialien für den Einsatz, noch Produkte für den Verkauf oder die Auslieferung freigegeben werden, bevor ihre Qualität als zufriedenstellend beurteilt wurde. Die Qualitätskontrolle ist nicht auf Laborarbeiten beschränkt, sondern muss bei allen die Produktqualität betreffenden Entscheidungen einbezogen werden.</w:t>
      </w:r>
    </w:p>
    <w:p>
      <w:r>
        <w:t>12.11 Der Leiter der Qualitätskontrolle sollte sicherstellen, dass die Räumlichkeiten und die Ausrüstung, in denen Qualitätskontrollen durchgeführt werden, geeignet sind und unter geeigneten Bedingungen gehalten werden, und dass die in seinem Verantwortungsbereich beschäftigten Mitarbeiter ausreichend geschult sind. Inprozesskontrollen dürfen innerhalb des Produktionsbereichs durchgeführt werden, vorausgesetzt, dass sie kein Risiko für das Produkt darstellen.</w:t>
      </w:r>
    </w:p>
    <w:p>
      <w:r>
        <w:t>12.12 Der Leiter der Qualitätskontrolle beaufsichtigt alle Verfahren der Qualitätskontrolle. Insbesondere übernimmt er Verantwortung für folgende Aufgaben:</w:t>
      </w:r>
    </w:p>
    <w:p>
      <w:r>
        <w:t>(i) Genehmigung von Spezifikationen, Anweisungen zur Probenahme, Prüfmethoden und anderen Verfahren zur Qualitätskontrolle.</w:t>
      </w:r>
    </w:p>
    <w:p>
      <w:r>
        <w:t>(ii) Genehmigung und Überwachung von Analysenlaboren, die im Auftrag arbeiten.</w:t>
      </w:r>
    </w:p>
    <w:p>
      <w:r>
        <w:t>(iii) Kontrolle von Rohstoffen, Ausgangsstoffen und Medizinprodukten, die in kombinierten ATMPs verwendet werden, sowie von Verpackungsmaterialien, Zwischenprodukten, Bulkware und Fertigprodukten (einschließlich deren Genehmigung oder Zurückweisung). Im Falle autologer Produkte oder allogener gerichteter Produkte sollte die Kompatibilität zwischen dem Ausgangsstoff (Herkunft) und dem Empfänger verifiziert werden (Informationen zur Herkunft der Zellen/Gewebe sollten überprüft werden). Wenn in Ausnahmefällen eine Freigabe abgelaufener Stoffe zur Verwendung im Herstellungsprozess erfolgt, sollte der Leiter der Qualitätskontrolle die Qualität dieser Materialien durch geeignete Wiederholungsprüfungen sicherstellen.</w:t>
      </w:r>
    </w:p>
    <w:p>
      <w:r>
        <w:t>(iv) Beaufsichtigung der Kontrolle von Referenz- und/oder Rückstellmustern von Materialien und Produkten, sofern zutreffend.</w:t>
      </w:r>
    </w:p>
    <w:p>
      <w:r>
        <w:t>(v) Sicherstellung, dass alle erforderlichen Testungen durchgeführt und die dazugehörigen Protokolle ausgewertet werden.</w:t>
      </w:r>
    </w:p>
    <w:p>
      <w:r>
        <w:t>(vi) Sicherstellung der Überwachung der Produktstabilität.</w:t>
      </w:r>
    </w:p>
    <w:p>
      <w:r>
        <w:t>(vii) Mitwirkung an Untersuchungen hinsichtlich der Produktqualität.</w:t>
      </w:r>
    </w:p>
    <w:p>
      <w:r>
        <w:t>12.13 Über die oben genannten Aktivitäten sollten entsprechende Aufzeichnungen geführt werden. Für die in den Ziffern iii bis vi aufgeführten Aktivitäten sollten schriftlich festgelegte Verfahren erstellt werden.</w:t>
      </w:r>
    </w:p>
    <w:p>
      <w:r>
        <w:t>12.14 Das Personal der Qualitätskontrolle sollte Zugang zu den Produktionsbereichen haben, um Proben zu nehmen und, soweit zutreffend, Untersuchungen durchzuführen. Alle für die Bewertung der Qualitätskontrolle benötigten Dokumente (z. B. Verfahrensbeschreibungen oder Protokolle über den Herstellungsprozess und die Prüfungen) sollten ebenfalls zugänglich sein.</w:t>
      </w:r>
    </w:p>
    <w:p>
      <w:pPr>
        <w:pStyle w:val="Heading2"/>
      </w:pPr>
      <w:r>
        <w:t>12.2 Probenahme</w:t>
      </w:r>
    </w:p>
    <w:p>
      <w:pPr>
        <w:pStyle w:val="Heading2"/>
      </w:pPr>
      <w:r>
        <w:t>12.2.1 Allgemeine Grundsätze</w:t>
      </w:r>
    </w:p>
    <w:p>
      <w:r>
        <w:t>12.15 Proben sollten für die Material- oder Produktcharge, der sie entnommen wurden, repräsentativ sein. Behältnisse mit Bulkware, aus denen Proben entnommen worden sind, sollten eindeutig entsprechend gekennzeichnet werden. Im Falle von Proben steriler Materialien oder Proben, die während Verarbeitungsaktivitäten entnommen werden, sollte die Kennzeichnung der Probe auf andere geeignete Weise erfolgen.</w:t>
      </w:r>
    </w:p>
    <w:p>
      <w:r>
        <w:t>12.16 Die Probenahme sollte durchgeführt und dokumentiert werden nach schriftlich festgelegten Verfahren, die die Methode der Probenahme, einschließlich der zu entnehmenden Probenmenge, die zu beachtenden Vorsichtsmaßnahmen, die Lagerungsbedingungen usw. beschreiben. Die Probenbehältnisse sollten Etiketten tragen, auf denen mindestens der Inhalt, die Chargenbezeichnung und das Datum der Probenahme angegeben sind. Wenn die Behältnisse zu klein sind, sollte die Verwendung von Barcodes oder anderen Lösungen, die den Zugriff auf diese Informationen ermöglichen, in Betracht gezogen werden.</w:t>
      </w:r>
    </w:p>
    <w:p>
      <w:pPr>
        <w:pStyle w:val="Heading2"/>
      </w:pPr>
      <w:r>
        <w:t>12.2.2 Rückstellmuster</w:t>
      </w:r>
    </w:p>
    <w:p>
      <w:r>
        <w:t>12.17 Proben werden im Allgemeinen zu Analysezwecken aufbewahrt, sollte die Notwendigkeit hierfür während der Haltbarkeitsdauer der betreffenden Charge eintreten (Referenzproben), und für Identifizierungszwecke (Rückstellmuster einer vollständig verpackten Einheit aus einer Fertigproduktcharge). Die Referenzprobe und das Rückstellmuster können in einigen Fällen identisch sein (z. B. bei einer vollständig verpackten Einheit).</w:t>
      </w:r>
    </w:p>
    <w:p>
      <w:r>
        <w:t>12.18 Im Allgemeinen sollte die Referenzprobe ausreichend groß sein, um bei mindestens zwei Anlässen die Ausführung der vollen analytischen Kontrollen an der Charge zu erlauben, die in der Arzneimittelzulassung/Genehmigung der klinischen Prüfung vorgesehen sind. Es wird jedoch anerkannt, dass dies aufgrund der Knappheit der Materialien oder begrenzten Chargengröße gegebenenfalls nicht immer möglich ist (z. B. bei autologen Produkten, allogenen gerichteten Produkten, Produkten für sehr seltene Krankheiten, Produkten zur Verwendung in klinischen Studien der Phase I mit einer Produktion in sehr geringem Maßstab).</w:t>
      </w:r>
    </w:p>
    <w:p>
      <w:r>
        <w:t>12.19 Das Rückstellmuster sollte in seiner endgültigen Primärverpackung oder in einer Verpackung aus dem gleichen Material wie das Primärbehältnis, in dem das Produkt vermarktet wird, aufbewahrt werden.</w:t>
      </w:r>
    </w:p>
    <w:p>
      <w:r>
        <w:t>12.20 Proben sollten normalerweise unter den in der Produktinformation vorgesehenen Bedingungen aufbewahrt werden. Für Produkte/Materialien mit kurzer Haltbarkeitsdauer sollte jedoch sorgfältig erwogen werden, ob andere, die Stabilität steigernde Lagerungsbedingungen verwendet werden können (siehe unten).</w:t>
      </w:r>
    </w:p>
    <w:p>
      <w:r>
        <w:t>12.21 Der Probenahmeplan sollte dokumentiert werden. Der Probenahmeplan sollte an die spezifischen Eigenschaften des Produkts angepasst werden. Bei der Erstellung der Probenahmestrategie sollte der Hersteller die Risiken, eventuell bestehende praktische Beschränkungen und mögliche Maßnahmen zur Risikominimierung (z. B. stärkere Gewichtung von Inprozesskontrollen) in Betracht ziehen. Die Probenahmestrategie des Herstellers sollte hinreichend begründet sein.</w:t>
      </w:r>
    </w:p>
    <w:p>
      <w:r>
        <w:t>12.22 Insbesondere gelten folgende Erwägungen: 12.23</w:t>
      </w:r>
    </w:p>
    <w:p>
      <w:r>
        <w:t>– Proben von Rohstoffen: Referenzproben kritischer Rohstoffe (z. B. Zytokine, Wachstumsfaktoren, Enzyme, Seren) sind für die Untersuchung eventueller Qualitätsprobleme des Produkts wichtig. Die Beurteilung, ob ein bestimmter Rohstoff kritisch ist, sollte durch den Hersteller (oder, soweit zutreffend, durch den Sponsor oder den Zulassungsinhaber) mit Blick auf die spezifischen Risiken und möglichen Maßnahmen zur Risikominimierung (z. B. verstärkte Qualitätskontrollen) vorgenommen werden. Die getroffenen Entscheidungen sollten dokumentiert werden. Proben kritischer Rohstoffe sollten während der Haltbarkeitsdauer der jeweiligen Rohstoffe aufbewahrt werden. 12.24</w:t>
      </w:r>
    </w:p>
    <w:p>
      <w:r>
        <w:t>– Proben der Ausgangsstoffe sollten im Allgemeinen für zwei Jahre nach der Chargenfreigabe aufbewahrt werden. Es wird jedoch anerkannt, dass die Aufbewahrung von Proben aufgrund der Knappheit der Materialien eine Herausforderung darstellen kann. Aufgrund dieser immanenten Beschränkung ist es gerechtfertigt, im Falle autologer ATMPs und bestimmter allogener ATMPs (in gerichteten Szenarien) keine Referenzproben der als Ausgangsstoffe verwendeten Zellen/Gewebe aufzubewahren. In anderen Fällen, in denen die Knappheit der Stoffe ebenfalls ein Problem ist, kann die Probenahmestrategie angepasst werden, vorausgesetzt, dies ist begründet und es wurden geeignete Maßnahmen zur Risikominimierung getroffen. 12.25</w:t>
      </w:r>
    </w:p>
    <w:p>
      <w:r>
        <w:t>– Proben von Wirkstoffen und Zwischenprodukten sollten im Allgemeinen für zwei Jahre nach der Chargenfreigabe aufbewahrt werden. Es wird jedoch anerkannt, dass bei ATMPs eine getrennte Probenahme von Ausgangsstoffen, Wirkstoffen, Zwischenprodukten und Fertigprodukten nicht immer möglich ist. Die Erwägungen hinsichtlich der Knappheit der Ausgangsstoffe gelten entsprechend für die Erwartungen hinsichtlich der Aufbewahrung von Proben von Wirkstoffen und Zwischenprodukten. 12.26</w:t>
      </w:r>
    </w:p>
    <w:p>
      <w:r>
        <w:t>– Proben von primärem Verpackungsmaterial: Proben von primärem Verpackungsmaterial sollten im Allgemeinen für die Dauer der Haltbarkeit des betreffenden Fertigprodukts aufbewahrt werden. Die Aufbewahrung von Proben von primärem Verpackungsmaterial ist in bestimmten Fällen mit Blick auf die Risiken der Materialien und/oder andere relevante Erwägungen (z. B. verstärkte Qualitätskontrollen, primäres Verpackungsmaterial ist als Medizinprodukt zertifiziert) eventuell nicht erforderlich. Die Entscheidung, keine Proben von primären Verpackungsmaterialien aufzubewahren, sollte hinreichend begründet sein und dokumentiert werden. 12.27</w:t>
      </w:r>
    </w:p>
    <w:p>
      <w:r>
        <w:t>– Pro Charge sollte eine Probe einer vollständig verpackten Einheit (Rückstellmuster) für mindestens ein Jahr nach dem Verfalldatum aufbewahrt werden. Die Aufbewahrung eines Rückstellmusters wird jedoch im Falle autologer Produkte oder allogener gerichteter Produkte nicht erwartet, da die mit den Geweben/Zellen des Patienten produzierte Einheit diesem verabreicht werden sollte. Wenn es nicht möglich ist, ein Rückstellmuster aufzubewahren, können stattdessen Fotografien oder Kopien des Etiketts in die Chargenprotokolle aufgenommen werden.</w:t>
      </w:r>
    </w:p>
    <w:p>
      <w:r>
        <w:t>11.28 Die Aufbewahrungsdauer der Proben von Ausgangsstoffen, Wirkstoffen und Zwischenprodukten sollte an die Stabilität und Haltbarkeitsdauer des Produkts angepasst sein. Daher können kürzere Aufbewahrungszeiten gerechtfertigt sein. Im Falle einer kurzen Haltbarkeitsdauer sollte der Hersteller erwägen, ob die Aufbewahrung der Probe unter Bedingungen, die die Haltbarkeitsdauer verlängern (wie z. B. Kryokonservierung) für den vorgesehenen Zweck repräsentativ ist. So kann beispielsweise die Kryokonservierung von Frischzellen die Probe für Charakterisierungszwecke unbrauchbar machen, jedoch kann die Probe für Kontrollen der Sterilität oder Virussicherheit geeignet sein (das Probevolumen kann entsprechend dem vorgesehenen Zweck reduziert werden). Wird die Kryolagerung einer Probe als für den vorgesehenen Zweck ungeeignet befunden, sollte der Hersteller alternative Ansätze in Betracht ziehen (z. B. Probe des Zwischenprodukts wie z. B. differenzierter Zellen).</w:t>
      </w:r>
    </w:p>
    <w:p>
      <w:pPr>
        <w:pStyle w:val="Heading2"/>
      </w:pPr>
      <w:r>
        <w:t>12.3 Testung</w:t>
      </w:r>
    </w:p>
    <w:p>
      <w:r>
        <w:t>12.29 Testung ist wichtig, um sicherzustellen, dass jede Charge die jeweiligen Spezifikationen erfüllt. Inprozesskontrollen sollten während geeigneter Schritte der Produktion erfolgen, um diejenigen Bedingungen zu überprüfen, die für die Qualität des Produkts von Bedeutung sind.</w:t>
      </w:r>
    </w:p>
    <w:p>
      <w:r>
        <w:t>12.30 Die Testung von kritischen Rohstoffen, Ausgangsstoffen, Wirkstoffen/Zwischenprodukten/Fertigprodukten sowie die Testung der Stabilität sollten in Übereinstimmung mit den in der Arzneimittelzulassung/Genehmigung der klinischen Prüfung definierten Bestimmungen durchgeführt werden.</w:t>
      </w:r>
    </w:p>
    <w:p>
      <w:r>
        <w:t>12.31 Die Testmethoden sollten validiert sein und es sollten Referenzmaterialien (sofern zutreffend) für Qualifizierung und Routinetestung erstellt werden. Bei ATMP-Prüfpräparaten sollte der Umfang der Validierung mit der Entwicklungsphase und der Kritikalität der Prüfergebnisse unter Berücksichtigung der Risiken für den Patienten in Einklang stehen (siehe Abschnitt 10.4).</w:t>
      </w:r>
    </w:p>
    <w:p>
      <w:r>
        <w:t>12.32 Folgende Aufzeichnungen sollten in Zusammenhang mit den durchgeführten Testungen aufbewahrt werden:</w:t>
      </w:r>
    </w:p>
    <w:p>
      <w:r>
        <w:t>(i) Name des Materials oder Produkts und, soweit zutreffend, Darreichungsform;</w:t>
      </w:r>
    </w:p>
    <w:p>
      <w:r>
        <w:t>(ii) Chargenbezeichnung und, soweit zutreffend, Hersteller und/oder Lieferant;</w:t>
      </w:r>
    </w:p>
    <w:p>
      <w:r>
        <w:t>(iii) Bezugnahme auf die jeweiligen Spezifikationen und Testverfahren;</w:t>
      </w:r>
    </w:p>
    <w:p>
      <w:r>
        <w:t>(iv) Testergebnisse, einschließlich Beobachtungen und Berechnungen, sowie Referenz zu Analysenzertifikaten;</w:t>
      </w:r>
    </w:p>
    <w:p>
      <w:r>
        <w:t>(v) Daten der Testung;</w:t>
      </w:r>
    </w:p>
    <w:p>
      <w:r>
        <w:t>(vi) Namenszeichen der Personen, die die Testungen durchgeführt haben (oder ein anderes geeignetes Identifikationssystem);</w:t>
      </w:r>
    </w:p>
    <w:p>
      <w:r>
        <w:t>(vii) soweit zutreffend, Namenszeichen der Personen, die die Testungen und Berechnungen verifiziert haben (oder ein anderes geeignetes Identifikationssystem);</w:t>
      </w:r>
    </w:p>
    <w:p>
      <w:r>
        <w:t>(viii) klare Aussage zur Freigabe oder Zurückweisung (oder eine andere Entscheidung hinsichtlich des Status) mit Datum und Unterschrift der verantwortlichen Person;</w:t>
      </w:r>
    </w:p>
    <w:p>
      <w:r>
        <w:t>(ix) Bezugnahme auf die eingesetzte Ausrüstung.</w:t>
      </w:r>
    </w:p>
    <w:p>
      <w:r>
        <w:t>12.33 Die für Qualitätskontrolltests verwendeten Materialien, Reagenzien, Kulturmedien und Referenzstandards sollten von geeigneter Qualität sein und gemäß den Anweisungen verwendet werden. Falls erforderlich sollten eine Identitätsverifizierung und/oder -prüfung nach Erhalt oder vor Gebrauch in Betracht gezogen werden. Technischer Transfer von Prüfmethoden</w:t>
      </w:r>
    </w:p>
    <w:p>
      <w:r>
        <w:t>12.34 Der Transfer von Prüfmethoden von einem Labor (Transferlabor) zu einem anderen Labor (erhaltendes Labor) sollte in einem detaillierten Plan beschrieben sein.</w:t>
      </w:r>
    </w:p>
    <w:p>
      <w:r>
        <w:t>12.35 Das Transferprotokoll sollte unter anderem die folgenden Parameter einschließen:</w:t>
      </w:r>
    </w:p>
    <w:p>
      <w:r>
        <w:t>(i) Identifizierung der durchzuführenden Testung und der relevanten Prüfmethode(n), die dem Transfer unterzogen werden sollen;</w:t>
      </w:r>
    </w:p>
    <w:p>
      <w:r>
        <w:t>(ii) Identifizierung zusätzlicher Schulungsanforderungen;</w:t>
      </w:r>
    </w:p>
    <w:p>
      <w:r>
        <w:t>(iii) Identifizierung der Standards und zu prüfenden Proben;</w:t>
      </w:r>
    </w:p>
    <w:p>
      <w:r>
        <w:t>(iv) Identifizierung spezieller Transport- und Lagerungsbedingungen der Prüfgegenstände;</w:t>
      </w:r>
    </w:p>
    <w:p>
      <w:r>
        <w:t>(v) die Akzeptanzkriterien.</w:t>
      </w:r>
    </w:p>
    <w:p>
      <w:r>
        <w:t>12.36 Abweichungen vom Plan sollten vor Abschluss des technischen Transferprozesses untersucht werden. Der technische Transferbericht sollte das Vergleichsergebnis des Prozesses dokumentieren und, soweit zutreffend, Bereiche identifizieren, die weitere Revalidierungen der Testmethoden erfordern.</w:t>
      </w:r>
    </w:p>
    <w:p>
      <w:pPr>
        <w:pStyle w:val="Heading2"/>
      </w:pPr>
      <w:r>
        <w:t>12.4 Fortlaufendes Stabilitätsprogramm</w:t>
      </w:r>
    </w:p>
    <w:p>
      <w:r>
        <w:t>12.37 Nachdem die Zulassung des Arzneimittels erteilt worden ist, sollte ein Programm implementiert werden, mit dem verifiziert wird, dass das Produkt unter den jeweiligen Lagerungsbedingungen (wie in der Arzneimittelzulassung vorgesehen) während der Haltbarkeitsdauer innerhalb der Spezifikationen verbleibt (sogenanntes „fortlaufendes Stabilitätsprogramm“). Die Methodik des fortlaufenden Stabilitätsprogramms kann sich, sofern dies begründet ist, von dem Ansatz zur Erlangung der Stabilitätsdaten, die im Antrag auf Arzneimittelzulassung übermittelt werden, unterscheiden (z. B. andere Prüffrequenz).</w:t>
      </w:r>
    </w:p>
    <w:p>
      <w:r>
        <w:t>12.38 Die fortlaufenden Stabilitätsstudien sollten im Allgemeinen am Fertigprodukt durchgeführt werden (d. h. an dem vom Hersteller freigegebenen Produkt). Wenn Zwischenprodukte über einen längeren Zeitraum gelagert werden können, sollte in Erwägung gezogen werden, Chargen, die aus über einen längeren Zeitraum gelagerten Materialien hergestellt wurden, in das Stabilitätsprogramm einzubeziehen. Stabilitätsstudien zu dem für die Verabreichung zubereiteten (rekonstituierten) Produkt werden während der Produktentwicklung durchgeführt und müssen nicht kontinuierlich überwacht werden. Die Verwendung von Ersatzmaterialien (z. B. aus gesunden Spendern gewonnene Materialien) ist zulässig im Falle autologer Produkte (oder in gerichteten Szenarien), wenn die gesamte Charge dem Patienten verabreicht werden muss.</w:t>
      </w:r>
    </w:p>
    <w:p>
      <w:r>
        <w:t>12.39 Die Anzahl der geprüften Chargen und die Prüffrequenz sollten geeignet sein, Trendanalysen zu ermöglichen. Im Allgemeinen wird erwartet, dass mindestens eine Charge des Produkts pro Jahr in das Stabilitätsprogramm einbezogen wird, es sei denn, im entsprechenden Jahr wurde keine Charge hergestellt oder eine andere Frequenz ist anderweitig gerechtfertigt. Außerhalb der Spezifikationen liegende Ergebnisse und signifikant atypische Trends sollten untersucht und ihre möglichen Auswirkungen auf die für den Markt freigegebenen Chargen bewertet und, sofern zutreffend, den zuständigen Behörden gemeldet werden.</w:t>
      </w:r>
    </w:p>
    <w:p>
      <w:pPr>
        <w:pStyle w:val="Heading1"/>
      </w:pPr>
      <w:r>
        <w:t>13 Ausgelagerte Tätigkeiten</w:t>
      </w:r>
    </w:p>
    <w:p>
      <w:pPr>
        <w:pStyle w:val="Heading2"/>
      </w:pPr>
      <w:r>
        <w:t>13.1 Allgemeine Grundsätze</w:t>
      </w:r>
    </w:p>
    <w:p>
      <w:r>
        <w:t>13.10 An Dritte ausgelagerte Tätigkeiten (einschließlich Beratungstätigkeiten) sollten von einem schriftlichen Vertrag geregelt werden, in dem die Verantwortlichkeiten jeder Partei festgelegt sind. Soweit zutreffend sollten die Rollen und Verantwortlichkeiten im Falle der Aufdeckung von Qualitätsmängeln, sowie – falls zutreffend – die Verpflichtungen jeder Partei hinsichtlich der Rückverfolgbarkeit, in dem Vertrag eindeutig festgelegt sein.</w:t>
      </w:r>
    </w:p>
    <w:p>
      <w:pPr>
        <w:pStyle w:val="Heading2"/>
      </w:pPr>
      <w:r>
        <w:t>13.2 Verpflichtungen des Auftraggebers</w:t>
      </w:r>
    </w:p>
    <w:p>
      <w:r>
        <w:t>13.11 Vor der Auslagerung von Aktivitäten sollte der Hersteller oder – sofern zutreffend – der Sponsor oder Zulassungsinhaber (Auftraggeber) die Eignung des Auftragnehmers zur Ausführung der ausgelagerten Tätigkeiten in Übereinstimmung mit den Bestimmungen der Arzneimittelzulassung/Genehmigung der klinischen Prüfung und anderen geltenden Vorschriften, einschließlich der Guten Herstellungspraxis, beurteilen.</w:t>
      </w:r>
    </w:p>
    <w:p>
      <w:r>
        <w:t>13.12 In Ausnahmefällen, in denen die ausgelagerte Tätigkeit ein hochspezialisierter Test (z. B. Karyotypisierung) ist, ist es zulässig, dass der Auftragnehmer nicht GMP-zertifiziert ist, vorausgesetzt, er erfüllt die entsprechenden Qualitätsstandards, die für die ausgelagerte Tätigkeit relevant sind (z. B. ISO), und dies ist hinreichend begründet.</w:t>
      </w:r>
    </w:p>
    <w:p>
      <w:r>
        <w:t>13.13 Der Auftraggeber sollte dem Auftragnehmer umfassende Informationen über das Produkt/den Herstellungsprozess liefern, sowie alle anderen Daten, die notwendig sind, um die ausgelagerten Tätigkeiten korrekt auszuführen.</w:t>
      </w:r>
    </w:p>
    <w:p>
      <w:r>
        <w:t>13.14 Der Auftraggeber sollte die Protokolle und Ergebnisse der ausgelagerten Tätigkeiten überprüfen und beurteilen.</w:t>
      </w:r>
    </w:p>
    <w:p>
      <w:pPr>
        <w:pStyle w:val="Heading2"/>
      </w:pPr>
      <w:r>
        <w:t>13.3 Verpflichtungen des Auftragnehmers</w:t>
      </w:r>
    </w:p>
    <w:p>
      <w:r>
        <w:t>13.15 Der Auftragnehmer sollte alle Maßnahmen ergreifen, die notwendig sind (z. B. geeignete Räumlichkeiten, Ausrüstung, geschultes Personal), um die ausgelagerten Tätigkeiten zufrieden stellend auszuführen. Es sollte besondere Aufmerksamkeit darauf verwandt werden, eine Kreuzkontamination zu verhindern und Rückverfolgbarkeit zu gewährleisten.</w:t>
      </w:r>
    </w:p>
    <w:p>
      <w:r>
        <w:t>13.16 Der Auftragnehmer sollte ohne vorherige Genehmigung des Auftraggebers keine Änderungen an dem Prozess, den Räumlichkeiten, der Ausrüstung, Prüfmethoden, Spezifikationen oder anderen, mit der ausgelagerten Tätigkeit verbundenen, Elementen vornehmen.</w:t>
      </w:r>
    </w:p>
    <w:p>
      <w:r>
        <w:t>13.17 Alle Protokolle in Zusammenhang mit den ausgelagerten Tätigkeiten sowie Referenzproben sollten entweder an den Auftraggeber übermittelt werden, oder hilfsweise sollte der Auftraggeber Zugriff darauf erhalten.</w:t>
      </w:r>
    </w:p>
    <w:p>
      <w:r>
        <w:t>13.18 Eine Vergabe von Unteraufträgen an eine dritte Partei ist ohne die Genehmigung des Auftraggebers nicht zulässig.</w:t>
      </w:r>
    </w:p>
    <w:p>
      <w:r>
        <w:t>13.19 Der Auftragnehmer sollte Audits/Inspektionen durch den Auftraggeber und die zuständigen Behörden in Verbindung mit den ausgelagerten Tätigkeiten gestatten.</w:t>
      </w:r>
    </w:p>
    <w:p>
      <w:pPr>
        <w:pStyle w:val="Heading1"/>
      </w:pPr>
      <w:r>
        <w:t>14 Qualitätsmängel und Produktrückrufe</w:t>
      </w:r>
    </w:p>
    <w:p>
      <w:pPr>
        <w:pStyle w:val="Heading2"/>
      </w:pPr>
      <w:r>
        <w:t>14.1 Qualitätsmängel</w:t>
      </w:r>
    </w:p>
    <w:p>
      <w:r>
        <w:t>14.10 Es sollte ein System vorhanden sein, mit dem sichergestellt wird, dass alle qualitätsbezogenen Beanstandungen, ganz gleich ob sie in mündlicher oder schriftlicher Form eingehen, dokumentiert und eingehend untersucht werden. Das für die Durchführung von Untersuchungen über Beanstandungen und Qualitätsmängel verantwortliche Personal sollte unabhängig von der Marketing- und der Vertriebsabteilung sein, sofern nicht anders begründet. Nimmt die an der Zertifizierung der betroffenen Charge(n) beteiligte sachkundige Person nicht an der Untersuchung teil, sollte sie zeitnah informiert werden.</w:t>
      </w:r>
    </w:p>
    <w:p>
      <w:r>
        <w:t>14.11 Es sollten Arbeitsanweisungen erstellt werden, in denen die zu ergreifenden Maßnahmen nach Erhalt einer Beanstandung beschrieben werden und insbesondere die Identifizierung der potenziellen Ursache(n) des Qualitätsmangels, die Beurteilung des Risikos/der Risiken, die von dem Qualitätsmangel ausgeht/ausgehen, die Notwendigkeit für angemessene Korrektur- oder Vorbeugemaßnahmen, die Bewertung der Auswirkungen, die eine Rückrufaktion auf die Verfügbarkeit des Arzneimittels für Patienten haben kann, und die zu unternehmende interne und externe Kommunikation angesprochen wird. Kann die Ursache nicht ermittelt werden, sollten die wahrscheinlichsten Ursachen bestimmt werden.</w:t>
      </w:r>
    </w:p>
    <w:p>
      <w:r>
        <w:t>14.12 Werden nach der Beschaffung zusätzliche Informationen zur Gesundheit des Spenders (Mensch oder Tier) bekannt, die die Produktqualität beeinträchtigen, ist eine Analyse des Risikos/der Risiken und der Notwendigkeit für korrigierende oder präventive Maßnahmen ebenfalls erforderlich.</w:t>
      </w:r>
    </w:p>
    <w:p>
      <w:r>
        <w:t>14.13 Wenn ein Qualitätsmangel in einer Charge festgestellt wird oder ein entsprechender Verdacht besteht, sollte die Notwendigkeit der Überprüfung anderer Chargen (oder, sofern zutreffend, anderer Produkte) erwogen werden, um festzustellen, ob diese auch betroffen sind.</w:t>
      </w:r>
    </w:p>
    <w:p>
      <w:r>
        <w:t>14.14 Die Untersuchungen von Qualitätsmängeln sollten eine Nachprüfung früherer Berichte über Qualitätsmängel oder anderer relevanter Informationen auf etwaige spezifische oder wiederkehrende Probleme einschließen.</w:t>
      </w:r>
    </w:p>
    <w:p>
      <w:r>
        <w:t>14.15 Während einer Untersuchung sollte prioritär sichergestellt werden, dass angemessene Maßnahmen zum Risikomanagement getroffen werden, um die Sicherheit der Patienten zu gewährleisten. Alle getroffenen Entscheidungen und Maßnahmen sollten dokumentiert werden. Die Wirksamkeit der getroffenen Korrektur- und/oder Vorbeugemaßnahmen sollte überwacht werden.</w:t>
      </w:r>
    </w:p>
    <w:p>
      <w:r>
        <w:t>14.16 Berichte über Qualitätsmängel sollten aufbewahrt und verwendet werden, um die eventuelle Existenz wiederkehrender Probleme zu beurteilen. Die zuständigen Behörden sollten im Falle eines bestätigten Qualitätsmangels (fehlerhafte Herstellung, Produktverschlechterung, Aufdeckung einer Fälschung, Nicht-Übereinstimmung mit der Zulassung oder den Unterlagen über die Produktspezifikation oder andere ernsthafte Qualitätsprobleme) bei einem ATMP, der einen Produktrückruf oder eine ungewöhnliche Vertriebseinschränkung zur Folge haben könnte, zeitnah informiert werden. Ungeplante Abweichungen wie in Abschnitt 11.4 beschrieben sollten nicht gemeldet werden.</w:t>
      </w:r>
    </w:p>
    <w:p>
      <w:r>
        <w:t>14.17 Wird das ATMP von einem Unternehmen hergestellt, das nicht der Zulassungsinhaber/Sponsor ist, sollten die Rollen und Verantwortlichkeiten des Herstellers, des Zulassungsinhabers/Sponsors und aller anderen relevanten Dritten in Bezug auf die Bewertung, Entscheidungsfindung, Verbreitung von Informationen und Einführung risikomindernder Maßnahmen schriftlich festgelegt werden. Zusätzliche Erwägungen für ATMP-Prüfpräparate</w:t>
      </w:r>
    </w:p>
    <w:p>
      <w:r>
        <w:t>14.18 Wird die Verblindung von Prüfpräparaten im Plan einer klinischen Prüfung gefordert, sollte der Hersteller ein Verfahren zur zügigen Entblindung verblindeter Produkte implementieren, wenn dies für einen sofortigen Rückruf erforderlich ist. Der Hersteller sollte sicherstellen, dass das Verfahren die Identität des verblindeten Produkts nur soweit wie nötig offenlegt.</w:t>
      </w:r>
    </w:p>
    <w:p>
      <w:pPr>
        <w:pStyle w:val="Heading2"/>
      </w:pPr>
      <w:r>
        <w:t>14.2 Produktrückrufe und andere risikomindernde Maßnahmen</w:t>
      </w:r>
    </w:p>
    <w:p>
      <w:r>
        <w:t>14.19 Maßnahmen für den Umgang mit Qualitätsmängeln sollten im Verhältnis zu den Risiken stehen und der Schutz der Patienten sollte an erster Stelle stehen. Soweit möglich sollten die zu ergreifenden Maßnahmen mit den betroffenen zuständigen Behörden im Voraus diskutiert werden.</w:t>
      </w:r>
    </w:p>
    <w:p>
      <w:r>
        <w:t>14.20 Es sollten schriftliche Verfahren für den Rückruf von Produkten vorhanden sein, einschließlich darüber, wie ein Rückruf in die Wege geleitet werden sollte, wer im Falle eines Rückrufs informiert werden sollte (einschließlich der zuständigen Behörden und klinischen Prüfstellen) und wie das zurückgerufene Material behandelt werden sollte. In dem Verfahren sollten die Bilanzierung der ausgelieferten und zurückerhaltenen Menge und ein Bericht über den Fortschritt bis zum Abschluss des Rückrufs vorgesehen sein. Die dokumentierte Zerstörung eines fehlerhaften Produkts am klinischen Standort ist eine zulässige Alternative zur Rückgabe des Produkts. Zurückgerufene Produkte sollten eindeutig gekennzeichnet und getrennt werden.</w:t>
      </w:r>
    </w:p>
    <w:p>
      <w:r>
        <w:t>14.21 Es sollte sichergestellt werden, dass Rückrufaktionen unverzüglich und jederzeit in Gang gesetzt werden können. In bestimmten Fällen und zum Schutz der öffentlichen Gesundheit kann es nötig sein, Produkte vor Ergründung der Ursache oder des vollen Ausmaßes des Qualitätsmangels zurückzurufen.</w:t>
      </w:r>
    </w:p>
    <w:p>
      <w:r>
        <w:t>14.22 Zur Überprüfung der Robustheit des Rückrufverfahrens sollte im Falle zugelassener ATMPs in Erwägung gezogen werden, Schein-Rückrufaktionen durchzuführen. Es wird jedoch anerkannt, dass eine Schein-Rückrufaktion in bestimmten Situationen gegebenenfalls nicht angemessen ist (z. B. bei autologen ATMPs, allogenen ATMPs in gerichteten Szenarien, ATMPs, bei denen der Zeitraum zwischen der Herstellung und der Verabreichung des Produkts an den Patienten sehr kurz ist).</w:t>
      </w:r>
    </w:p>
    <w:p>
      <w:r>
        <w:t>14.23 Alle betroffenen zuständigen Behörden sollten vor Beginn einer Rückrufaktion informiert werden, es sei denn, zum Schutz der öffentlichen Gesundheit ist sofortiges Handeln erforderlich.</w:t>
      </w:r>
    </w:p>
    <w:p>
      <w:r>
        <w:t>14.24 Es sollte ein Maßnahmenplan für Fälle erstellt werden, in denen das Produkt nicht zurückgerufen werden kann, weil es dem/den Patienten bereits verabreicht wurde.</w:t>
      </w:r>
    </w:p>
    <w:p>
      <w:r>
        <w:t>14.25 Zusätzlich zu Rückrufen können andere risikomindernde Maßnahmen in Betracht gezogen werden, um Risiken durch Qualitätsmängel zu bewältigen, wie z. B. die Übermittlung entsprechender Informationen an Fachkräfte des Gesundheitswesens. Zusätzliche Erwägungen für ATMP-Prüfpräparate</w:t>
      </w:r>
    </w:p>
    <w:p>
      <w:r>
        <w:t>14.26 Verfahren für die Rücknahme von ATMP-Prüfpräparaten und die Dokumentation dieser Rücknahme sollten vom Sponsor in Zusammenarbeit mit dem Hersteller, sofern nicht identisch, vereinbart werden. Der Hersteller, Prüfer und Vertreter des Sponsors müssen ihre Verpflichtungen im Rahmen des Rücknahmeverfahrens kennen. Zur Erleichterung des Rückrufs sollte ein detailliertes Verzeichnis über die durch den Hersteller erfolgten Lieferungen gepflegt werden.</w:t>
      </w:r>
    </w:p>
    <w:p>
      <w:pPr>
        <w:pStyle w:val="Heading1"/>
      </w:pPr>
      <w:r>
        <w:t>15 Maßnahmen der Umgebungskontrolle für ATMPs, die genetisch veränderte Organismen (GVO) enthalten oder aus solchen bestehen</w:t>
      </w:r>
    </w:p>
    <w:p>
      <w:r>
        <w:t>15.10 Der Umgang mit ATMPs, die genetisch veränderte Organismen (GVO) enthalten oder aus solchen bestehen, kann ein Risiko für die Umgebung darstellen und erfordert die Einführung zusätzlicher Kontrollmaßnahmen. Zuerst sollte eine Beurteilung der Risiken vorgenommen werden, bei der sowohl das Risiko des isolierten ATMP als auch das Risiko im Falle der Expansion in einem Wirt mit permissiven Zellen berücksichtigt werden. Die Risikobewertung sollte eine Kategorisierung der Produkte in Produkte mit vernachlässigbarem, geringem, mäßigem oder hohem Risiko für die Umgebung zum Ergebnis haben.</w:t>
      </w:r>
    </w:p>
    <w:p>
      <w:r>
        <w:t>15.11 Containment-Maßnahmen sollten entsprechend dem Risiko des Produkts, mit dem umgegangen wird, eingerichtet werden, einschließlich Maßnahmen hinsichtlich des Designs der Räumlichkeiten, organisatorischer und technischer Maßnahmen sowie Maßnahmen hinsichtlich der Behandlung von Rückständen.</w:t>
      </w:r>
    </w:p>
    <w:p>
      <w:r>
        <w:t>15.12 Wenn Vektoren mit beschränkter Replikationsfähigkeit eingesetzt werden, sollten Maßnahmen vorhanden sein, die die Einschleppung von Wildtyp-Viren verhindern, welche zur Bildung replikationsfähiger, rekombinanter Vektoren führen können. Der Umgang mit viralen Vektoren sollte in einem abgesonderten Bereich in einer biologischen Sicherheitswerkbank oder einem Isolator stattfinden.</w:t>
      </w:r>
    </w:p>
    <w:p>
      <w:r>
        <w:t>15.13 Es sollten geeignete Dekontaminationsmaßnahmen implementiert werden, wenn Mitarbeiter oder Materialien sich aus einem Bereich mit GVO in einen Bereich ohne GVO oder zwischen Bereichen mit verschiedenen GVO bewegen bzw. transportiert werden. Soweit möglich sollten unidirektionale Ströme in Betracht gezogen werden.</w:t>
      </w:r>
    </w:p>
    <w:p>
      <w:r>
        <w:t>15.14 Ebenso sollten (an den Grad des Risikos angepasste) Notfallpläne vorhanden sein, in denen die zu ergreifenden Maßnahmen im Falle einer unbeabsichtigten Freisetzung in die Umgebung festgelegt sind. Der Plan sollte Methoden/Verfahren für ein Containment, den Schutz des Personals, die Reinigung, Dekontamination, das Abfallmanagement sowie die Benachrichtigung der örtlichen zuständigen Behörden sowie, sofern zutreffend, die Notdienste vorsehen.</w:t>
      </w:r>
    </w:p>
    <w:p>
      <w:r>
        <w:t>15.15 Im Falle zugelassener ATMPs sollten die Risikobewertung, die Containment-Maßnahmen und der Notfallplan/ die Notfallpläne Teil des Risikomanagementplans sein.</w:t>
      </w:r>
    </w:p>
    <w:p>
      <w:r>
        <w:t>15.16 Dieser Abschnitt gilt unbeschadet der Anforderungen, die gemäß der Richtlinie 2001/18/EG23 und der Richtlinie 2009/41/EG24 für ATMP-Prüfpräparate gelten können.</w:t>
      </w:r>
    </w:p>
    <w:p>
      <w:pPr>
        <w:pStyle w:val="Heading1"/>
      </w:pPr>
      <w:r>
        <w:t>16 Rekonstitution von Produkten nach Chargenfreigabe</w:t>
      </w:r>
    </w:p>
    <w:p>
      <w:pPr>
        <w:pStyle w:val="Heading2"/>
      </w:pPr>
      <w:r>
        <w:t>16.1 Rekonstitutionstätigkeiten</w:t>
      </w:r>
    </w:p>
    <w:p>
      <w:r>
        <w:t>16.10 Rekonstitutionstätigkeiten können am Ort der Verabreichung (z. B. in Krankenhausapotheken) außerhalb einer GMP-Umgebung durchgeführt werden.</w:t>
      </w:r>
    </w:p>
    <w:p>
      <w:r>
        <w:t>16.11 In diesen Leitlinien umfasst der Begriff „Rekonstitution“ Tätigkeiten, die nach der Chargenfreigabe und vor der Verabreichung des ATMP an den Patienten erforderlich sind und nicht als Herstellungsschritt betrachtet werden können.25 Aktivitäten, die mit einer substanziellen Bearbeitung verbunden sind, können jedoch nicht als Rekonstitution betrachtet werden (z. B. Kultivierung). Die substanzielle Bearbeitung sollte unter GMP-Bedingungen durchgeführt werden.</w:t>
      </w:r>
    </w:p>
    <w:p>
      <w:r>
        <w:t>Fußnote 23 Richtlinie 2001/18/EG des Europäischen Parlaments und des Rates vom 12. März 2001 über die absichtliche Freisetzung genetisch veränderter Organismen in die Umwelt und zur Aufhebung der Richtlinie 90/220/EWG des Rates (ABl. L 106 vom 17.4.2001, S. 1).</w:t>
      </w:r>
    </w:p>
    <w:p>
      <w:r>
        <w:t>Fußnote 24 Richtlinie 2009/41/EG des Europäischen Parlaments und des Rates vom 6. Mai 2009 über die Anwendung genetisch veränderter Mikroorganismen in geschlossenen Systemen (ABl. L 125 vom 21.5.2009, S. 75).</w:t>
      </w:r>
    </w:p>
    <w:p>
      <w:r>
        <w:t>Fußnote 25 Zerreiben und Formen sind Teil chirurgischer Verfahren und daher weder Herstellungs- noch Rekonstitutionstätigkeiten.</w:t>
      </w:r>
    </w:p>
    <w:p>
      <w:r>
        <w:t>16.12 Nachfolgend werden Beispiele für Rekonstitutionstätigkeiten aufgeführt, die für ATMPs relevant sind. Es wird betont, dass diese Beispiele nicht auf andere Arzneimittel als ATMPs übertragen werden können:</w:t>
      </w:r>
    </w:p>
    <w:p>
      <w:r>
        <w:t>– Auftauen, Waschen, Pufferwechsel, zum Entfernen der Konservierungslösung erforderliche Zentrifugationsschritte (z. B. DMSO), Entfernen prozessbezogener Verunreinigungen (Restmenge an Konservierungslösung, tote Zellen) einschließlich Filterung.</w:t>
      </w:r>
    </w:p>
    <w:p>
      <w:r>
        <w:t>– (Re)suspension, Auflösung oder Verdünnung mit Lösungsmittel/Puffer, Dispersion.</w:t>
      </w:r>
    </w:p>
    <w:p>
      <w:r>
        <w:t>– Vermischen des Produkts mit den Zellen des Patienten, mit einem Adjuvant und/oder mit anderen, zum Zweck der Verabreichung hinzugefügten Substanzen (einschließlich Matrizen). Das Vermischen eines gentherapeutischen Vektors mit autologen Zellen ist jedoch eine Herstellungsaktivität, die unter GMP-Bedingungen durchgeführt werden sollte.</w:t>
      </w:r>
    </w:p>
    <w:p>
      <w:r>
        <w:t>– Aufteilen des Produkts und Verwendung in einzelnen Dosen, Anpassung der Dosis (z. B. der Zellzahl).</w:t>
      </w:r>
    </w:p>
    <w:p>
      <w:r>
        <w:t>– Einfüllung in Verabreichungssysteme/Aufbringung auf chirurgische Instrumente, Übertragung in Infusionsbeutel/ Spritzen.</w:t>
      </w:r>
    </w:p>
    <w:p>
      <w:r>
        <w:t>16.13 Die genannten Schritte können nur dann Teil des Rekonstitutionsprozesses sein, wenn begründet wird, dass sie nicht als Teil des Herstellungsprozesses vor der Chargenfreigabe ausgeführt werden können, ohne dass sich dies negativ auf das Produkt auswirken würde. Darüber hinaus können die genannten Tätigkeiten nur als Rekonstitution betrachtet werden, wenn sie am Ort der Verabreichung ausgeführt werden (d. h. es ist nicht zulässig, diese Schritte an eine nicht GMP-konforme dritte Partei auszulagern).</w:t>
      </w:r>
    </w:p>
    <w:p>
      <w:pPr>
        <w:pStyle w:val="Heading2"/>
      </w:pPr>
      <w:r>
        <w:t>16.2 Verpflichtungen des ATMP-Herstellers in Zusammenhang mit Rekonstitutionstätigkeiten</w:t>
      </w:r>
    </w:p>
    <w:p>
      <w:r>
        <w:t>16.14 Der Hersteller, oder – sofern zutreffend – der Sponsor oder Zulassungsinhaber, sollte den Rekonstitutionsprozess beschreiben, einschließlich der zu verwendenden Ausrüstung und den Anforderungen am Ort der Verabreichung. Die Anweisungen sollten detailliert und klar genug sein, um negative Auswirkungen auf die Produktqualität zu vermeiden (wenn die Rekonstitution z. B. Auftauen umfasst, sollten die Wartezeit bei Raumtemperatur, die Temperaturänderungsrate während des Auftauens, die Verwendung von Wasserbädern usw. beschrieben werden).</w:t>
      </w:r>
    </w:p>
    <w:p>
      <w:r>
        <w:t>16.15 Ebenso sollten, wenn die Rekonstitution die Verwendung von Lösungsmitteln und/oder anderen Materialien erfordert, diese angegeben, oder, soweit zutreffend, zur Verfügung gestellt werden.</w:t>
      </w:r>
    </w:p>
    <w:p>
      <w:r>
        <w:t>16.16 Im Falle zugelassener ATMPs sollte der Hersteller die zu befolgenden Rekonstitutionsprozesse vom Zeitpunkt der Chargenfreigabe bis zur Verabreichung an den Patienten validieren; d. h. durch geeignete Studien sollte nachgewiesen werden, dass der angegebene Rekonstitutionsprozess ausreichend robust und beständig ist, sodass das Produkt ohne negative Auswirkungen auf das Qualitäts-/Sicherheits-/Wirksamkeitsprofil des ATMP verabreicht werden kann.</w:t>
      </w:r>
    </w:p>
    <w:p>
      <w:r>
        <w:t>16.17 Die Einhaltung des definierten Rekonstitutionsprozesses durch den Ort der Verabreichung fällt nicht in die Verantwortung des Herstellers und liegt zudem außerhalb des Geltungsbereichs der GMP-Vorschriften.</w:t>
      </w:r>
    </w:p>
    <w:p>
      <w:pPr>
        <w:pStyle w:val="Heading1"/>
      </w:pPr>
      <w:r>
        <w:t>17 Automatisierte Produktion von ATMPs</w:t>
      </w:r>
    </w:p>
    <w:p>
      <w:pPr>
        <w:pStyle w:val="Heading2"/>
      </w:pPr>
      <w:r>
        <w:t>17.1 Allgemeine Grundsätze</w:t>
      </w:r>
    </w:p>
    <w:p>
      <w:r>
        <w:t>17.10 Wenn das Erzeugnis eines automatisierten Produktionssystems (im Folgenden als „automatisierte Ausrüstung“ bezeichnet) die Definition eines ATMPs erfüllt, gelten die Anforderungen der Verordnung (EU) Nr. 1394/2007. Entsprechend gelten im Falle zugelassener ATMPs oder ATMPs, die in klinischen Prüfungen verwendet werden, die GMP-Anforderungen (wie in diesen Leitlinien festgelegt).</w:t>
      </w:r>
    </w:p>
    <w:p>
      <w:r>
        <w:t>17.11 Die Verwendung von automatisierter Ausrüstung kann die Erfüllung bestimmter GMP-Anforderungen erleichtern und gewisse Vorteile hinsichtlich der Produktqualität bringen. In diesem Abschnitt werden einige spezifische Aspekte dargestellt, die für die Verwendung dieser Technologie bei der Herstellung von ATMPs relevant sind; jedoch gelten, sofern nicht anders angegeben, auch die übrigen Abschnitte dieser Leitlinien.</w:t>
      </w:r>
    </w:p>
    <w:p>
      <w:pPr>
        <w:pStyle w:val="Heading2"/>
      </w:pPr>
      <w:r>
        <w:t>17.2 Automatisierte Ausrüstung</w:t>
      </w:r>
    </w:p>
    <w:p>
      <w:r>
        <w:t>17.12 Der Hersteller des ATMP ist für die Qualität des ATMP verantwortlich und muss daher die Eignung der automatisierten Ausrüstung für den spezifischen vorgesehenen Zweck sicherstellen.</w:t>
      </w:r>
    </w:p>
    <w:p>
      <w:r>
        <w:t>17.13 Obgleich der Grad der Bemühungen zum Nachweis der Eignung verringert sein kann, wenn die automatisierte Ausrüstung gemäß der EU-Vorschriften für Medizinprodukte für den vorgesehenen Zweck zertifiziert ist (CE-Zeichen), wird betont, dass das CE-Zeichen gegebenenfalls nicht relevant ist (d. h. automatisierte Ausrüstung, die kein Medizinprodukt darstellt) und dass das CE-Zeichen in jedem Fall nicht ausreicht, um die Eignung gemäß dieser Leitlinien nachzuweisen.</w:t>
      </w:r>
    </w:p>
    <w:p>
      <w:r>
        <w:t>17.14 Von besonderer Bedeutung sind folgende Verpflichtungen des ATMP-Herstellers: 17.15</w:t>
      </w:r>
    </w:p>
    <w:p>
      <w:r>
        <w:t>– Qualifizierung der Ausrüstung: Es gilt der Qualifizierungsprozess wie in Abschnitt 10.1 beschrieben. Die Benutzeranforderung sollte klar, eindeutig und detailliert genug sein, um die Eignung der automatisierten Ausrüstung für die vorgesehenen Arbeitsgänge sicherzustellen.</w:t>
      </w:r>
    </w:p>
    <w:p>
      <w:r>
        <w:t>17.16 Im Gegenzug sollte die Menge der vom Hersteller der automatisierten Ausrüstung erhaltenen Informationen für den Hersteller des ATMP ausreichend sein, um die Funktionsweise der automatisierten Ausrüstung vollständig zu verstehen und die für die Qualität, Sicherheit und Wirksamkeit des Produkts kritischen Schritte zu identifizieren. Durch den Hersteller des ATMP sollten zusätzliche Prüfungen und Betriebsverfahren entwickelt werden, soweit zutreffend (z. B. im Falle von Lücken bei den vom Hersteller der automatisierten Ausrüstung bereitgestellten Informationen oder Abweichungen von den bereitgestellten Betriebsanweisungen).</w:t>
      </w:r>
    </w:p>
    <w:p>
      <w:r>
        <w:t>17.17 Die automatisierte Ausrüstung sollte nicht anderweitig als gemäß den Empfehlungen ihres Herstellers/Lieferanten verwendet werden, es sei denn, der neue Betriebsmodus würde vollständig validiert.</w:t>
      </w:r>
    </w:p>
    <w:p>
      <w:r>
        <w:t>17.18</w:t>
      </w:r>
    </w:p>
    <w:p>
      <w:r>
        <w:t>– Es sollten Standardarbeitsanweisungen (SOPs) entwickelt werden. Die SOPs sollten klar und detailliert genug sein, um sicherzustellen, dass die Mitarbeiter den Herstellungsprozess und die damit verbundenen Risiken verstehen. Die SOPs sollten außerdem sicherstellen, dass jede Abweichung rasch identifiziert werden kann und geeignete Maßnahmen ergriffen werden.</w:t>
      </w:r>
    </w:p>
    <w:p>
      <w:r>
        <w:t>17.19</w:t>
      </w:r>
    </w:p>
    <w:p>
      <w:r>
        <w:t>– Angemessene Wartung: Die Wartung der automatisierten Ausrüstung zur Sicherstellung optimaler Anwendungsbedingungen und zur Vermeidung unbeabsichtigter Abweichungen/Fälle von Funktionsstörungen ist von grundlegender Bedeutung.</w:t>
      </w:r>
    </w:p>
    <w:p>
      <w:r>
        <w:t>17.20 Durch den Hersteller der automatisierten Ausrüstung sollte ein Programm für die Wartung/Kalibrierung dieser in regelmäßigen Abständen, die für das richtige Funktionieren der automatisierten Ausrüstung erforderlich ist, aufgestellt werden. Im Gegenzug sollte der Hersteller des ATMP sicherstellen, dass das Wartungsprogramm ausgeführt wird. Sofern zutreffend sollte die Aufteilung der Verantwortlichkeiten zwischen dem Hersteller der automatisierten Ausrüstung und dem Hersteller der ATMPs schriftlich festgelegt werden.</w:t>
      </w:r>
    </w:p>
    <w:p>
      <w:r>
        <w:t>17.21</w:t>
      </w:r>
    </w:p>
    <w:p>
      <w:r>
        <w:t>– Aseptische Verarbeitung: Die automatisierte Ausrüstung sollte nur unter Bedingungen verwendet werden, die die aseptische Verarbeitung gewährleisten (z. B. Validierung von Reinigungsprozessen, Sterilisierung von Materialien für die Mehrfachnutzung, die mit dem Produkt in Berührung kommen, geeignete Überprüfungen der Unversehrtheit der Ausrüstung, z. B. durch Druckhaltetests oder Tests auf Leckdichte).</w:t>
      </w:r>
    </w:p>
    <w:p>
      <w:r>
        <w:t>17.22</w:t>
      </w:r>
    </w:p>
    <w:p>
      <w:r>
        <w:t>– Es sollten Chargenprotokolle und Protokolle zur Rückverfolgbarkeit aufbewahrt werden.</w:t>
      </w:r>
    </w:p>
    <w:p>
      <w:pPr>
        <w:pStyle w:val="Heading2"/>
      </w:pPr>
      <w:r>
        <w:t>17.3 Personal</w:t>
      </w:r>
    </w:p>
    <w:p>
      <w:r>
        <w:t>17.23 Das an der Herstellung beteiligte Personal sollte ausreichend geschult sein und die mit dem Prozess verbundenen Risiken hinreichend kennen (einschließlich der Risiken für die Wirksamkeit des Produkts).</w:t>
      </w:r>
    </w:p>
    <w:p>
      <w:pPr>
        <w:pStyle w:val="Heading2"/>
      </w:pPr>
      <w:r>
        <w:t>17.4 Räumlichkeiten</w:t>
      </w:r>
    </w:p>
    <w:p>
      <w:r>
        <w:t>17.24 Wie in Abschnitt 9.5.1 erläutert, sollte der Raum, in dem ein geschlossenes System verwendet wird, mindestens die Reinheitsklasse D besitzen. Der Transfer des Materials in die/aus der Ausrüstung ist ein kritischer Schritt und es sollte ein validiertes Verfahren vorhanden sein, um das Produkt vor dem Risiko der Kontamination zu schützen.</w:t>
      </w:r>
    </w:p>
    <w:p>
      <w:r>
        <w:t>17.25 In Abschnitt 9.5.1 werden außerdem die Bedingungen erläutert, unter denen geschlossene Systeme in Ausnahmefällen in eine kontrollierte, aber nicht klassifizierte Umgebung platziert werden können.</w:t>
      </w:r>
    </w:p>
    <w:p>
      <w:pPr>
        <w:pStyle w:val="Heading2"/>
      </w:pPr>
      <w:r>
        <w:t>17.5 Produktion und Prozessvalidierung</w:t>
      </w:r>
    </w:p>
    <w:p>
      <w:r>
        <w:t>17.26 Der Zeitpunkt, zu dem der Herstellungsprozess beginnt und endet, sollte definiert werden und die Rollen und Verantwortlichkeiten aller zu den unterschiedlichen Zeitpunkten beteiligten Akteure sollten klar festgelegt werden.</w:t>
      </w:r>
    </w:p>
    <w:p>
      <w:r>
        <w:t>17.27 Die Möglichkeiten für Inprozesskontrollen können aufgrund der kontinuierlichen Verarbeitung in geschlossenen Systemen eingeschränkt sein. In solchen Fällen sollte eine kontinuierliche Überwachung kritischer Prozessparameter und anderer Eingangsparameter, die sich auf die Produktqualität auswirken (wie in der Arzneimittelzulassung/Genehmigung der klinischen Prüfung angegeben) durchgeführt werden, wenn dies technisch möglich ist. Ist die kontinuierliche Überwachung technisch nicht möglich, ist eine Überwachung in bestimmten Abständen unter Berücksichtigung der Kritikalität des Parameters und der Risiken erforderlich. Die Daten zu Prozessparametern sollten als Teil der Chargenprotokolle aufbewahrt werden.</w:t>
      </w:r>
    </w:p>
    <w:p>
      <w:r>
        <w:t>17.28 Außerdem sollte eine Validierung der aseptischen Verarbeitung durch Media-Fill-Simulation durchgeführt werden. Empfohlen wird, die Validierung zweimal jährlich durchzuführen; dieses Intervall kann entsprechend der Risiken jedoch angepasst werden (siehe Abschnitt 9.5.2).</w:t>
      </w:r>
    </w:p>
    <w:p>
      <w:pPr>
        <w:pStyle w:val="Heading2"/>
      </w:pPr>
      <w:r>
        <w:t>17.6 Sachkundige Person und Chargenzertifizierung</w:t>
      </w:r>
    </w:p>
    <w:p>
      <w:r>
        <w:t>17.29 Die Chargenzertifizierung ist eine grundlegende Anforderung für alle Arzneimittel, einschließlich ATMPs, die mithilfe von automatisierter Ausrüstung hergestellt werden.</w:t>
      </w:r>
    </w:p>
    <w:p>
      <w:pPr>
        <w:pStyle w:val="Heading2"/>
      </w:pPr>
      <w:r>
        <w:t>Glossar</w:t>
      </w:r>
    </w:p>
    <w:p>
      <w:r>
        <w:t>1. Arzneimittel für neuartige Therapien (ATMPs): Gentherapeutika, somatische Zelltherapeutika und biotechnologisch bearbeitete Gewebeprodukte gemäß Definition in Artikel 2 der ATMP-Verordnung.</w:t>
      </w:r>
    </w:p>
    <w:p>
      <w:r>
        <w:t>2. Tiere</w:t>
      </w:r>
    </w:p>
    <w:p>
      <w:r>
        <w:t>– Gründertier: Tiere, aus denen die Ursprungs-/Spendertiere gezüchtet werden.</w:t>
      </w:r>
    </w:p>
    <w:p>
      <w:r>
        <w:t>– Spezifiziert pathogenfrei (SPF): Tierische Materialien (z. B. Hühnerembryos oder Zellkulturen), die für die Produktion oder Qualitätskontrolle von ATMPs verwendet werden, die von Gruppen (z. B. Beständen oder Herden) von Tieren stammen, welche frei von speziellen Pathogenen sind. Solche Bestände oder Herden sind als Tiere definiert, die in einer gemeinsamen Umgebung leben und über eigene Pfleger verfügen, die keinen Kontakt zu Nicht-SPF-Gruppen haben.</w:t>
      </w:r>
    </w:p>
    <w:p>
      <w:r>
        <w:t>3. Schleuse: Ein geschlossener Raum mit zwei oder mehreren Türen, der sich zwischen zwei oder mehreren Räumen, z. B. verschiedener Reinheitsklassen, befindet und dem Zweck dient, den Luftstrom zwischen den Räumen unter Kontrolle zu halten, wenn diese betreten werden müssen. Eine Schleuse kann entweder für Personen oder für Waren vorgesehen und entsprechend benutzt werden.</w:t>
      </w:r>
    </w:p>
    <w:p>
      <w:r>
        <w:t>4. Bereich: Ein „Bereich“ ist eine räumliche Einheit. Als einzelner Bereich wird eine spezielle Gruppe von Räumen in einem Gebäude betrachtet, die mit der Herstellung eines Produkts oder mehrerer Produkte in Verbindung stehen und eine gemeinsame Lüftungsanlage haben.</w:t>
      </w:r>
    </w:p>
    <w:p>
      <w:r>
        <w:t>– Reinraumbereich: Ein Bereich, der so ausgelegt ist, gewartet und kontrolliert wird, dass eine partikuläre und mikrobiologische Kontamination verhindert wird. Hinweise zur Qualifizierung der Reinräume und Reinluftanlagen finden sich in der Normenreihe ISO 14644.</w:t>
      </w:r>
    </w:p>
    <w:p>
      <w:r>
        <w:t>– Kritischer Reinraumbereich: Ein Bereich, in dem das Produkt Umgebungsbedingungen ausgesetzt ist.</w:t>
      </w:r>
    </w:p>
    <w:p>
      <w:r>
        <w:t>– Hintergrund-Reinraumbereich: Direkt an den kritischen reinen Bereich angrenzende Umgebung.</w:t>
      </w:r>
    </w:p>
    <w:p>
      <w:r>
        <w:t>– Containment-Bereich: Ein Bereich, der so konstruiert ist und betrieben wird (und mit geeigneten Belüftungs- und Filtrationssystemen ausgestattet ist), dass die Kontamination der äußeren Umgebung durch biologische Agenzien aus dem Bereich verhindert wird.</w:t>
      </w:r>
    </w:p>
    <w:p>
      <w:r>
        <w:t>– Abgetrennter Bereich: Ein abgetrennter Bereich innerhalb einer Herstellungsstätte erfordert separate Kryolagerung, einen abgesonderten Produktionsbereich mit separatem HVAC-System, Einschränkungen der Bewegungsfreiheit des Personals und der Ausrüstung (ohne entsprechende Dekontaminationsmaßnahmen) und fest zugeordnete Ausrüstung, die nur für die Produktion eines Produkttyps mit einem spezifischen Risikoprofil bestimmt ist.</w:t>
      </w:r>
    </w:p>
    <w:p>
      <w:r>
        <w:t>5. Bulkware: Jedes Produkt, das außer der Endverpackung alle Verarbeitungsstufen durchlaufen hat.</w:t>
      </w:r>
    </w:p>
    <w:p>
      <w:r>
        <w:t>6. Kampagnenproduktion: Nacheinander erfolgende Herstellung einer Reihe von Chargen desselben Produkts innerhalb eines bestimmten Zeitraums mit nachfolgender strikter Einhaltung zuvor festgelegter Kontrollmaßnahmen vor dem Wechsel auf ein anderes Produkt. Die Verwendung von ein und derselben Ausrüstung für verschiedene Produkte ist möglich, vorausgesetzt, es werden geeignete Kontrollmaßnahmen angewendet.</w:t>
      </w:r>
    </w:p>
    <w:p>
      <w:r>
        <w:t>7. Zellbank</w:t>
      </w:r>
    </w:p>
    <w:p>
      <w:r>
        <w:t>– Zellbanksystem: Ein Zellbanksystem ist ein System, mit dem aufeinander folgende Chargen eines Erzeugnisses durch Züchtung in Zellen gewonnen werden, die aus derselben Masterzellbank hervorgegangen sind. Eine Anzahl von Behältern aus der Masterzellbank wird zur Herstellung einer Arbeitszellbank verwendet. Das Zellbanksystem sollte für einen Passageschritt oder eine Anzahl von Populationsverdopplungen validiert werden, die oberhalb der bei der Routineherstellung erreichten liegen.</w:t>
      </w:r>
    </w:p>
    <w:p>
      <w:r>
        <w:t>– Masterzellbank: Eine Kultur (vollständig charakterisierter) Zellen, die in einem einzigen Arbeitsgang auf Behälter verteilt werden und zur Sicherung einer einheitlichen Qualität zusammen verarbeitet und so aufbewahrt werden, dass ihre Haltbarkeit gewährleistet ist. Die Masterzellbank wird zur Ableitung sämtlicher Arbeitszellbänke verwendet.</w:t>
      </w:r>
    </w:p>
    <w:p>
      <w:r>
        <w:t>– Arbeitszellbank: Eine Kultur von Zellen, die aus der Masterzellbank hervorgegangen und zur Verwendung bei der Herstellung von Produktionszellkulturen bestimmt sind.</w:t>
      </w:r>
    </w:p>
    <w:p>
      <w:r>
        <w:t>8. Zellvorrat: Auf eine bestimmte Anzahl von Zellen erweiterte Primärzellen, die aliquotiert und als Ausgangsstoff für die Produktion einer begrenzten Stückzahl eines zellbasierten ATMPs verwendet werden.</w:t>
      </w:r>
    </w:p>
    <w:p>
      <w:r>
        <w:t>9. Reinraum: Ein Raum, der so ausgelegt ist, gewartet und kontrolliert wird, dass eine partikuläre und mikrobiologische Kontamination von Produkten verhindert wird. Einem solchen Raum wird eine Reinheitsklassifizierung zugeschrieben, die er in reproduzierbarer Weise erfüllt.</w:t>
      </w:r>
    </w:p>
    <w:p>
      <w:r>
        <w:t>10. Reinigungsvalidierung: Siehe Abschnitt 10.2.</w:t>
      </w:r>
    </w:p>
    <w:p>
      <w:r>
        <w:t>11. Reinigungsverifizierung: Das Sammeln von Beweisen mittels geeigneter Analyse nach jeder Charge/Kampagne als Nachweis dafür, dass Kontaminanten, Rückstände des vorhergehenden Produkts oder Reinigungsmittel unter eine vorab definierte Schwelle gesenkt wurden.</w:t>
      </w:r>
    </w:p>
    <w:p>
      <w:r>
        <w:t>12. Geschlossenes System: Ein Prozesssystem, das dazu konzipiert ist und betrieben wird, eine Exposition des Produkts oder Materials an die Raumumgebung zu vermeiden. Materialien können in ein geschlossenes System eingebracht werden, das Hinzufügen muss jedoch so geschehen, dass die Exposition des Produkts an die Raumumgebung vermieden wird (z. B. mittels steriler Anschlüsse oder Fusionssysteme). Es kann nötig sein, ein geschlossenes System zu öffnen (z. B., um ein Filter zu installieren oder eine Verbindung herzustellen), es wird jedoch durch einen Desinfektions- oder Sterilisationsschritt vor der Verwendung für den Prozess in den geschlossenen Zustand zurückversetzt.</w:t>
      </w:r>
    </w:p>
    <w:p>
      <w:r>
        <w:t>13. Isolator: Dekontaminierte Einheit mit Luftqualität der Reinheitsklasse A (ISO 5) oder höher, die verlässlich und kontinuierlich für die Isolation des Innenraumes gegenüber der äußeren Umgebung sorgt (z. B. umgebende Reinraumluft und Personal).</w:t>
      </w:r>
    </w:p>
    <w:p>
      <w:r>
        <w:t>14. Zwischenprodukt: Teilweise bearbeitetes Material, das noch weitere Herstellungsstufen durchlaufen muss, bevor es zur Bulkware wird.</w:t>
      </w:r>
    </w:p>
    <w:p>
      <w:r>
        <w:t>15. Herstellungsauftrag: Dokument, das die Aufforderung des Sponsors, ein bestimmtes Produkt herzustellen, enthält. Das Dokument sollte eindeutig sein und auf die Unterlagen über die Produktspezifikation und den relevanten Studienplan zur klinischen Prüfung, sofern zutreffend, verweisen.</w:t>
      </w:r>
    </w:p>
    <w:p>
      <w:r>
        <w:t>16. Unterlagen über die Produktspezifikation: Ein Dossier, das die Spezifikationen, Anweisungen und andere Informationen enthält, die für die Herstellung eines Prüfpräparats und die Durchführung der Chargenzertifizierung notwendig sind, oder das auf die entsprechenden Unterlagen verweist, in denen diese Informationen zu finden sind. Der genaue Inhalt des Dossiers wird in Abschnitt 6.2 erläutert.</w:t>
      </w:r>
    </w:p>
    <w:p>
      <w:r>
        <w:t>17. Qualifizierung der Räumlichkeiten und Ausrüstung: siehe Abschnitt 10.1.</w:t>
      </w:r>
    </w:p>
    <w:p>
      <w:r>
        <w:t>18. Lieferantenqualifizierung: Ein Prozess, der dazu konzipiert ist, die Eignung der Lieferanten sicherzustellen. Die Lieferantenqualifizierung kann auf verschiedene Weise erfolgen, z. B. mittels Qualitätsfragebögen, Audits usw.).</w:t>
      </w:r>
    </w:p>
    <w:p>
      <w:r>
        <w:t>19. Rohstoffe: Die Definition von „Rohstoffen“ findet sich in Teil IV des Anhangs zur Richtlinie 2001/83/EG zur Schaffung eines Gemeinschaftskodexes für Humanarzneimittel.</w:t>
      </w:r>
    </w:p>
    <w:p>
      <w:r>
        <w:t>20. Raumzustand:</w:t>
      </w:r>
    </w:p>
    <w:p>
      <w:r>
        <w:t>– Ruhezustand: Ruhezustand ist der Zustand, in dem alle HVAC-Systeme und Installationen in Betrieb sind, jedoch kein Personal anwesend ist und die Ausrüstung ruht. Die Partikellimits sollten nach einer kurzen „Reinigungs-Phase“ von 15 bis 20 Minuten nach Betriebsende erreicht werden.</w:t>
      </w:r>
    </w:p>
    <w:p>
      <w:r>
        <w:t>– Betriebszustand: Betriebszustand ist der Zustand, in dem die gesamte Ausrüstung und alle Installationen in Betrieb sind und das Personal in Übereinstimmung mit dem Herstellungsverfahren arbeitet.</w:t>
      </w:r>
    </w:p>
    <w:p>
      <w:r>
        <w:t>21. Saatgut</w:t>
      </w:r>
    </w:p>
    <w:p>
      <w:r>
        <w:t>– Saatgutsystem: Ein Saatgutsystem ist ein System, nach dem aufeinanderfolgende Chargen eines Produkts aus derselben Stammsaatbank nach Durchlaufen einer bestimmten Anzahl von Passageschritten gewonnen werden. Für die Routineproduktion wird eine Arbeitssaatbank aus der Stammsaatbank hergestellt. Das Endprodukt wird aus der Arbeitssaatbank gewonnen und hat nach der Zubereitung aus der Stammsaatbank keine höhere Anzahl von Passageschritten durchlaufen, als in klinischen Prüfungen als ausreichend hinsichtlich Sicherheit und Wirksamkeit nachgewiesen worden ist. Herkunft und Historie der Passagierung des Master-Saatguts und des Arbeits-Saatguts werden protokolliert.</w:t>
      </w:r>
    </w:p>
    <w:p>
      <w:r>
        <w:t>– Master-Saatgut: Eine Kultur eines Mikroorganismus (Viren oder Bakterien), die aus einem einzigen Bulkmaterial zur Erzielung einer einheitlichen Qualität, zur Verhinderung einer Kontamination und zur Sicherung der Haltbarkeit in einem einzigen Arbeitsschritt in Einzelbehälter gegeben wird.</w:t>
      </w:r>
    </w:p>
    <w:p>
      <w:r>
        <w:t>– Arbeits-Saatgut: Eine Kultur eines Mikroorganismus (Viren oder Bakterien), die aus der Stammsaatbank hervorgegangen und zur Verwendung in der Produktion bestimmt ist.</w:t>
      </w:r>
    </w:p>
    <w:p>
      <w:r>
        <w:t>22. Substanzielle Bearbeitung: Das Kriterium der substanziellen Bearbeitung ist in Artikel 2 Absatz 1 der Verordnung (EU) Nr. 1394/2007 festgelegt. Zusätzliche Hinweise zu dessen Anwendung finden sich im Reflexionspapier des Ausschusses für neuartige Therapien (Committee for Advanced Therapies, CAT) zur Klassifizierung von Arzneimitteln für neuartige Therapien (Reflection paper on classification of Advanced Therapy Medicinal Products, http://www.ema.europa.eu/ema/index.jsp?curl=pages/regulation/general/general_cont ent_000296.jsp).</w:t>
      </w:r>
    </w:p>
    <w:p>
      <w:r>
        <w:t>23. Ausgangsstoffe: Die Definition von „Ausgangsstoffen“ findet sich in Teil IV des Anhangs zur Richtlinie 2001/83/EG zur Schaffung eines Gemeinschaftskodexes für Humanarzneimittel.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IV ATMP (6 von 6) Kap 12-17 Qualitätskontrolle, Ausgelagerte Tätigkeiten, Qualitätsmängel</dc:title>
  <dc:subject>EU-GMP-Leitfaden, Teil IV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