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Report — Sokoto Rainfall Cover</w:t>
      </w:r>
    </w:p>
    <w:p>
      <w:pPr>
        <w:pStyle w:val="Subtitle"/>
      </w:pPr>
      <w:r>
        <w:t xml:space="preserve">Capstone Project: Technical Implementation &amp; Development Progress</w:t>
      </w:r>
    </w:p>
    <w:p>
      <w:pPr>
        <w:pStyle w:val="Author"/>
      </w:pPr>
      <w:r>
        <w:t xml:space="preserve">Chinemerem Judith Ugbo · Supervisor: Dr Aaron Izang</w:t>
      </w:r>
    </w:p>
    <w:p>
      <w:pPr>
        <w:pStyle w:val="Heading1"/>
      </w:pPr>
      <w:bookmarkStart w:id="9" w:name="_aec4a389ac2728b4b198c7ce943c702b6daf081"/>
      <w:r>
        <w:t xml:space="preserve">Technical Report: Sokoto Rainfall Cover</w:t>
      </w:r>
      <w:bookmarkEnd w:id="9"/>
    </w:p>
    <w:p>
      <w:pPr>
        <w:pStyle w:val="FirstParagraph"/>
      </w:pPr>
      <w:r>
        <w:rPr>
          <w:i/>
          <w:iCs/>
        </w:rPr>
        <w:t xml:space="preserve">Repository:</w:t>
      </w:r>
      <w:r>
        <w:t xml:space="preserve"> </w:t>
      </w:r>
      <w:r>
        <w:rPr>
          <w:rStyle w:val="VerbatimChar"/>
        </w:rPr>
        <w:t xml:space="preserve">github.com/Phinatech/Capstone-project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Live:</w:t>
      </w:r>
      <w:r>
        <w:t xml:space="preserve"> </w:t>
      </w:r>
      <w:r>
        <w:rPr>
          <w:rStyle w:val="VerbatimChar"/>
        </w:rPr>
        <w:t xml:space="preserve">sokoto-cover.pages.dev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Chain:</w:t>
      </w:r>
      <w:r>
        <w:t xml:space="preserve"> </w:t>
      </w:r>
      <w:r>
        <w:t xml:space="preserve">Ethereum Sepolia</w:t>
      </w:r>
    </w:p>
    <w:p>
      <w:pPr>
        <w:pStyle w:val="Heading2"/>
      </w:pPr>
      <w:bookmarkStart w:id="10" w:name="_beaea4cdf199bb742cc976d3973daff328a8a8c"/>
      <w:r>
        <w:t xml:space="preserve">1. Scope Alignment &amp; Feature Validation</w:t>
      </w:r>
      <w:bookmarkEnd w:id="10"/>
    </w:p>
    <w:p>
      <w:pPr>
        <w:pStyle w:val="FirstParagraph"/>
      </w:pPr>
      <w:r>
        <w:t xml:space="preserve">The approved scope proposed a blockchain-based weather-index insurance system in which (1) rainfall is measured by multiple independent sources, (2) policies are sold and settled by smart contract without a claims process, and (3) farmers, field agents and administrators manage cover through a web application. The delivered system matches that scope; one planned element (SMS delivery) is implemented but optional in configuration, and fiat settlement is deliberately deferred (it requires a licensed payment provider).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Planned Feature</w:t>
            </w:r>
          </w:p>
        </w:tc>
        <w:tc>
          <w:tcPr/>
          <w:p>
            <w:pPr>
              <w:pStyle w:val="Compact"/>
            </w:pPr>
            <w:r>
              <w:t xml:space="preserve">Intended Purpose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contracts: policy sale, premium, payout reserve</w:t>
            </w:r>
          </w:p>
        </w:tc>
        <w:tc>
          <w:tcPr/>
          <w:p>
            <w:pPr>
              <w:pStyle w:val="Compact"/>
            </w:pPr>
            <w:r>
              <w:t xml:space="preserve">Sell cover; guarantee payout trustlessly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M1 · Contracts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WeatherIndexInsurance.sol</w:t>
            </w:r>
            <w:r>
              <w:t xml:space="preserve">; 56 tests; Policy #0 bought &amp; paid on Sepolia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oracle with reputation-weighted aggregation</w:t>
            </w:r>
          </w:p>
        </w:tc>
        <w:tc>
          <w:tcPr/>
          <w:p>
            <w:pPr>
              <w:pStyle w:val="Compact"/>
            </w:pPr>
            <w:r>
              <w:t xml:space="preserve">One source cannot decide a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M2 ·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OracleAggregator.sol</w:t>
            </w:r>
            <w:r>
              <w:t xml:space="preserve">; 3 live sources; sim. Fig.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oracle relayer + settlement keeper</w:t>
            </w:r>
          </w:p>
        </w:tc>
        <w:tc>
          <w:tcPr/>
          <w:p>
            <w:pPr>
              <w:pStyle w:val="Compact"/>
            </w:pPr>
            <w:r>
              <w:t xml:space="preserve">Report rainfall and pay farmers unattended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M2 ·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relayer.ts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settlement.ts</w:t>
            </w:r>
            <w:r>
              <w:t xml:space="preserve">; Policy #0’s live payout ran autonomously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portal (buy cover, monitor, payouts)</w:t>
            </w:r>
          </w:p>
        </w:tc>
        <w:tc>
          <w:tcPr/>
          <w:p>
            <w:pPr>
              <w:pStyle w:val="Compact"/>
            </w:pPr>
            <w:r>
              <w:t xml:space="preserve">Self-service cover with a wallet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M3 · Portals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/farmer/*</w:t>
            </w:r>
            <w:r>
              <w:t xml:space="preserve">; screenshots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; route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Field-agent portal (sell cover, naira receipts)</w:t>
            </w:r>
          </w:p>
        </w:tc>
        <w:tc>
          <w:tcPr/>
          <w:p>
            <w:pPr>
              <w:pStyle w:val="Compact"/>
            </w:pPr>
            <w:r>
              <w:t xml:space="preserve">Reach farmers without wallets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M3 · Portals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/agent/*</w:t>
            </w:r>
            <w:r>
              <w:t xml:space="preserve">; receipts verified server-side against the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(policies, farmers &amp; agents, analytics)</w:t>
            </w:r>
          </w:p>
        </w:tc>
        <w:tc>
          <w:tcPr/>
          <w:p>
            <w:pPr>
              <w:pStyle w:val="Compact"/>
            </w:pPr>
            <w:r>
              <w:t xml:space="preserve">Operate and audit the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M3 · Portals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; screenshots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research tools (consensus simulator, backtest)</w:t>
            </w:r>
          </w:p>
        </w:tc>
        <w:tc>
          <w:tcPr/>
          <w:p>
            <w:pPr>
              <w:pStyle w:val="Compact"/>
            </w:pPr>
            <w:r>
              <w:t xml:space="preserve">Study/demonstrate consensus 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M4 ·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/admin/backtest</w:t>
            </w:r>
            <w:r>
              <w:t xml:space="preserve">; 121 historical dekads (backtest-results.md)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(in-app, email codes, SMS/Telegram)</w:t>
            </w:r>
          </w:p>
        </w:tc>
        <w:tc>
          <w:tcPr/>
          <w:p>
            <w:pPr>
              <w:pStyle w:val="Compact"/>
            </w:pPr>
            <w:r>
              <w:t xml:space="preserve">Tell farmers about purchases/payouts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 (SMS optional)</w:t>
            </w:r>
            <w:r>
              <w:t xml:space="preserve"> </w:t>
            </w:r>
            <w:r>
              <w:t xml:space="preserve">· M4 · Research</w:t>
            </w:r>
          </w:p>
        </w:tc>
        <w:tc>
          <w:tcPr/>
          <w:p>
            <w:pPr>
              <w:pStyle w:val="Compact"/>
            </w:pPr>
            <w:r>
              <w:t xml:space="preserve">real event notifications; email codes; SMS via</w:t>
            </w:r>
            <w:r>
              <w:t xml:space="preserve"> </w:t>
            </w:r>
            <w:r>
              <w:rPr>
                <w:rStyle w:val="VerbatimChar"/>
              </w:rPr>
              <w:t xml:space="preserve">SMS_PROVIDER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&amp; security audit</w:t>
            </w:r>
          </w:p>
        </w:tc>
        <w:tc>
          <w:tcPr/>
          <w:p>
            <w:pPr>
              <w:pStyle w:val="Compact"/>
            </w:pPr>
            <w:r>
              <w:t xml:space="preserve">Validate and harden the system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M5 · Validation</w:t>
            </w:r>
          </w:p>
        </w:tc>
        <w:tc>
          <w:tcPr/>
          <w:p>
            <w:pPr>
              <w:pStyle w:val="Compact"/>
            </w:pPr>
            <w:r>
              <w:t xml:space="preserve">292 tests;</w:t>
            </w:r>
            <w:r>
              <w:t xml:space="preserve"> </w:t>
            </w:r>
            <w:r>
              <w:rPr>
                <w:rStyle w:val="VerbatimChar"/>
              </w:rPr>
              <w:t xml:space="preserve">security-audit.md</w:t>
            </w:r>
            <w:r>
              <w:t xml:space="preserve">, fixes pinned by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(public site + testnet)</w:t>
            </w:r>
          </w:p>
        </w:tc>
        <w:tc>
          <w:tcPr/>
          <w:p>
            <w:pPr>
              <w:pStyle w:val="Compact"/>
            </w:pPr>
            <w:r>
              <w:t xml:space="preserve">Working product, end to 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  <w:r>
              <w:t xml:space="preserve"> </w:t>
            </w:r>
            <w:r>
              <w:t xml:space="preserve">· M5 ·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sokoto-cover.pages.dev</w:t>
            </w:r>
            <w:r>
              <w:t xml:space="preserve"> </w:t>
            </w:r>
            <w:r>
              <w:t xml:space="preserve">+ Render + Sepolia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Fiat settlement (naira off-ramp)</w:t>
            </w:r>
          </w:p>
        </w:tc>
        <w:tc>
          <w:tcPr/>
          <w:p>
            <w:pPr>
              <w:pStyle w:val="Compact"/>
            </w:pPr>
            <w:r>
              <w:t xml:space="preserve">Pay farmers in naira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implemented — justified</w:t>
            </w:r>
            <w:r>
              <w:t xml:space="preserve"> </w:t>
            </w:r>
            <w:r>
              <w:t xml:space="preserve">· M6 · Future</w:t>
            </w:r>
          </w:p>
        </w:tc>
        <w:tc>
          <w:tcPr/>
          <w:p>
            <w:pPr>
              <w:pStyle w:val="Compact"/>
            </w:pPr>
            <w:r>
              <w:t xml:space="preserve">Needs a licensed provider; receipts record the naira leg; future work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Scope changes:</w:t>
      </w:r>
      <w:r>
        <w:t xml:space="preserve"> </w:t>
      </w:r>
      <w:r>
        <w:t xml:space="preserve">none dropped for convenience. The naira leg was designed as receipted off-chain settlement (a licensed off-ramp is beyond a student project), and deployment widened from a local chain to live Sepolia — adding real wallet integration, RPC resilience and network-safety work.</w:t>
      </w:r>
    </w:p>
    <w:p>
      <w:pPr>
        <w:pStyle w:val="Heading2"/>
      </w:pPr>
      <w:bookmarkStart w:id="11" w:name="_be2e093980b411b7edbc3beeba725424f6a1fd1"/>
      <w:r>
        <w:t xml:space="preserve">2. Technical Product Demonstration</w:t>
      </w:r>
      <w:bookmarkEnd w:id="11"/>
    </w:p>
    <w:p>
      <w:pPr>
        <w:pStyle w:val="FirstParagraph"/>
      </w:pPr>
      <w:r>
        <w:t xml:space="preserve">The walkthrough video (linked in the README) demonstrates, in order:</w:t>
      </w:r>
    </w:p>
    <w:p>
      <w:pPr>
        <w:pStyle w:val="BodyText"/>
      </w:pPr>
      <w:r>
        <w:rPr>
          <w:b/>
          <w:bCs/>
        </w:rPr>
        <w:t xml:space="preserve">A. Core functionalities</w:t>
      </w:r>
      <w:r>
        <w:t xml:space="preserve"> </w:t>
      </w:r>
      <w:r>
        <w:t xml:space="preserve">— policy purchase as agent and as farmer, the farmer dashboard and payouts ledger, the admin’s</w:t>
      </w:r>
      <w:r>
        <w:t xml:space="preserve"> </w:t>
      </w:r>
      <w:r>
        <w:rPr>
          <w:i/>
          <w:iCs/>
        </w:rPr>
        <w:t xml:space="preserve">oracle evaluation</w:t>
      </w:r>
      <w:r>
        <w:t xml:space="preserve"> </w:t>
      </w:r>
      <w:r>
        <w:t xml:space="preserve">view, the consensus simulator corrupting one source, and the backtest.</w:t>
      </w:r>
      <w:r>
        <w:t xml:space="preserve"> </w:t>
      </w:r>
      <w:r>
        <w:rPr>
          <w:b/>
          <w:bCs/>
        </w:rPr>
        <w:t xml:space="preserve">B. Technical requirements</w:t>
      </w:r>
      <w:r>
        <w:t xml:space="preserve"> </w:t>
      </w:r>
      <w:r>
        <w:t xml:space="preserve">— every screen wired end-to-end: React/TypeScript → Express/TypeScript API → Firebase → ethers.js → Solidity on Sepolia, fed by three real rainfall APIs.</w:t>
      </w:r>
      <w:r>
        <w:t xml:space="preserve"> </w:t>
      </w:r>
      <w:r>
        <w:rPr>
          <w:b/>
          <w:bCs/>
        </w:rPr>
        <w:t xml:space="preserve">C. Testing with inputs</w:t>
      </w:r>
      <w:r>
        <w:t xml:space="preserve"> </w:t>
      </w:r>
      <w:r>
        <w:t xml:space="preserve">— wrong premium, closed window, insufficient pool capacity, wrong wallet network, invalid codes, role escalation: each shown refusing safely with a plain-language error.</w:t>
      </w:r>
      <w:r>
        <w:t xml:space="preserve"> </w:t>
      </w:r>
      <w:r>
        <w:rPr>
          <w:b/>
          <w:bCs/>
        </w:rPr>
        <w:t xml:space="preserve">D. Testing strategies</w:t>
      </w:r>
      <w:r>
        <w:t xml:space="preserve"> </w:t>
      </w:r>
      <w:r>
        <w:t xml:space="preserve">— unit/functional and integration testing (§3.3).</w:t>
      </w:r>
      <w:r>
        <w:t xml:space="preserve"> </w:t>
      </w:r>
      <w:r>
        <w:rPr>
          <w:b/>
          <w:bCs/>
        </w:rPr>
        <w:t xml:space="preserve">E. Performance &amp; compatibility</w:t>
      </w:r>
      <w:r>
        <w:t xml:space="preserve"> </w:t>
      </w:r>
      <w:r>
        <w:t xml:space="preserve">— measured latency and bundle sizes (§3.4), desktop and mobile layouts, Chromium browsers.</w:t>
      </w:r>
    </w:p>
    <w:p>
      <w:pPr>
        <w:pStyle w:val="Heading2"/>
      </w:pPr>
      <w:bookmarkStart w:id="12" w:name="_98881ac9c2ed213291710f5b3a9cc36f3dde708"/>
      <w:r>
        <w:t xml:space="preserve">3. Code Quality &amp; Technical Implementation</w:t>
      </w:r>
      <w:bookmarkEnd w:id="12"/>
    </w:p>
    <w:p>
      <w:pPr>
        <w:pStyle w:val="Heading3"/>
      </w:pPr>
      <w:bookmarkStart w:id="13" w:name="_4c01f02e15ac4d4f3541a8f7e7b755a34c17d56"/>
      <w:r>
        <w:t xml:space="preserve">3.1 OOP principles and architecture</w:t>
      </w:r>
      <w:bookmarkEnd w:id="13"/>
    </w:p>
    <w:p>
      <w:pPr>
        <w:pStyle w:val="FirstParagraph"/>
      </w:pPr>
      <w:r>
        <w:t xml:space="preserve">The codebase is organised by layer —</w:t>
      </w:r>
      <w:r>
        <w:t xml:space="preserve"> </w:t>
      </w:r>
      <w:r>
        <w:rPr>
          <w:rStyle w:val="VerbatimChar"/>
        </w:rPr>
        <w:t xml:space="preserve">blockchain/</w:t>
      </w:r>
      <w:r>
        <w:t xml:space="preserve"> </w:t>
      </w:r>
      <w:r>
        <w:t xml:space="preserve">(contracts),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(API, relayer, stores),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(portals, providers) — with clear separation of concerns and no monolithic scripts.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Abstraction &amp; encapsulation.</w:t>
      </w:r>
      <w:r>
        <w:t xml:space="preserve"> </w:t>
      </w:r>
      <w:r>
        <w:t xml:space="preserve">Each store (</w:t>
      </w:r>
      <w:r>
        <w:rPr>
          <w:rStyle w:val="VerbatimChar"/>
        </w:rPr>
        <w:t xml:space="preserve">createUserStore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createSessionStore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createAgentStore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createAuthCodeStore</w:t>
      </w:r>
      <w:r>
        <w:t xml:space="preserve">) hides its persistence behind one</w:t>
      </w:r>
      <w:r>
        <w:t xml:space="preserve"> </w:t>
      </w:r>
      <w:r>
        <w:rPr>
          <w:rStyle w:val="VerbatimChar"/>
        </w:rPr>
        <w:t xml:space="preserve">StorePersistence</w:t>
      </w:r>
      <w:r>
        <w:t xml:space="preserve"> </w:t>
      </w:r>
      <w:r>
        <w:t xml:space="preserve">interface; the application does not know or care whether records live in Firestore, a JSON file or an in-memory map. The same is true of the policy layer (</w:t>
      </w:r>
      <w:r>
        <w:rPr>
          <w:rStyle w:val="VerbatimChar"/>
        </w:rPr>
        <w:t xml:space="preserve">usePolicies()</w:t>
      </w:r>
      <w:r>
        <w:t xml:space="preserve"> </w:t>
      </w:r>
      <w:r>
        <w:t xml:space="preserve">hides chain vs simulated providers).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Polymorphism &amp; strategy.</w:t>
      </w:r>
      <w:r>
        <w:t xml:space="preserve"> </w:t>
      </w:r>
      <w:r>
        <w:t xml:space="preserve">Persistence backends are interchangeable strategies — production (Firebase), development (files), tests (fakes) — chosen once at start-up. The consensus simulator runs three aggregation strategies (single-source, equal, reputation-weighted) behind one interface.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injection.</w:t>
      </w:r>
      <w:r>
        <w:t xml:space="preserve"> </w:t>
      </w:r>
      <w:r>
        <w:rPr>
          <w:rStyle w:val="VerbatimChar"/>
        </w:rPr>
        <w:t xml:space="preserve">createAuthRouter({ users, sessions, authCodes })</w:t>
      </w:r>
      <w:r>
        <w:t xml:space="preserve"> </w:t>
      </w:r>
      <w:r>
        <w:t xml:space="preserve">receives its collaborators, so end-to-end tests exercise the real router over HTTP against isolated stores.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Inheritance &amp; reusable components.</w:t>
      </w:r>
      <w:r>
        <w:t xml:space="preserve"> </w:t>
      </w:r>
      <w:r>
        <w:rPr>
          <w:rStyle w:val="VerbatimChar"/>
        </w:rPr>
        <w:t xml:space="preserve">ErrorBoundary</w:t>
      </w:r>
      <w:r>
        <w:t xml:space="preserve"> </w:t>
      </w:r>
      <w:r>
        <w:t xml:space="preserve">extends React.Component once and protects every route; typed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contracts (User, Policy, StorePersistence) are implemented by interchangeable parts. Shared reusable components (</w:t>
      </w:r>
      <w:r>
        <w:rPr>
          <w:rStyle w:val="VerbatimChar"/>
        </w:rPr>
        <w:t xml:space="preserve">PolicyBrowser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) and pure utilities (</w:t>
      </w:r>
      <w:r>
        <w:rPr>
          <w:rStyle w:val="VerbatimChar"/>
        </w:rPr>
        <w:t xml:space="preserve">utils/oracle.ts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utils/currency.ts</w:t>
      </w:r>
      <w:r>
        <w:t xml:space="preserve">) compose the frontend; the Context tree (theme → i18n → preferences → auth → policy) layers cross-cutting behaviour without duplication.</w:t>
      </w:r>
    </w:p>
    <w:p>
      <w:pPr>
        <w:pStyle w:val="Heading3"/>
      </w:pPr>
      <w:bookmarkStart w:id="14" w:name="_b1640c7a4d5708bf2f95cf4b507024eaaff7126"/>
      <w:r>
        <w:t xml:space="preserve">3.2 Algorithms and problem-solving</w:t>
      </w:r>
      <w:bookmarkEnd w:id="14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Reputation-weighted consensus.</w:t>
      </w:r>
      <w:r>
        <w:t xml:space="preserve"> </w:t>
      </w:r>
      <w:r>
        <w:t xml:space="preserve">Dekad rainfall is a weighted average over reporting sources; weights come from peer-agreement scores, so a corrupt source loses weight immediately and historically. The simulator shows a corrupted feed moving the aggregate by</w:t>
      </w:r>
      <w:r>
        <w:t xml:space="preserve"> </w:t>
      </w:r>
      <w:r>
        <w:rPr>
          <w:b/>
          <w:bCs/>
        </w:rPr>
        <w:t xml:space="preserve">+9%</w:t>
      </w:r>
      <w:r>
        <w:t xml:space="preserve"> </w:t>
      </w:r>
      <w:r>
        <w:t xml:space="preserve">under reputation weights versus</w:t>
      </w:r>
      <w:r>
        <w:t xml:space="preserve"> </w:t>
      </w:r>
      <w:r>
        <w:rPr>
          <w:b/>
          <w:bCs/>
        </w:rPr>
        <w:t xml:space="preserve">+59%</w:t>
      </w:r>
      <w:r>
        <w:t xml:space="preserve"> </w:t>
      </w:r>
      <w:r>
        <w:t xml:space="preserve">under equal weights.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Out-of-sample backtest.</w:t>
      </w:r>
      <w:r>
        <w:t xml:space="preserve"> </w:t>
      </w:r>
      <w:r>
        <w:t xml:space="preserve">Weights are learned from inverse-MSE on all years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the scored year, with 2,000-resample bootstrap confidence intervals — avoiding a fit to the test data (</w:t>
      </w:r>
      <w:r>
        <w:rPr>
          <w:rStyle w:val="VerbatimChar"/>
        </w:rPr>
        <w:t xml:space="preserve">docs/backtest-results.md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Fixed-point time-series arithmetic.</w:t>
      </w:r>
      <w:r>
        <w:t xml:space="preserve"> </w:t>
      </w:r>
      <w:r>
        <w:t xml:space="preserve">Rainfall is integer hundredths of millimetres; dekads are period ids (YYYYMMD); windows sum exactly their period set — settlement is exact and auditable.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Concurrency-safe persistence.</w:t>
      </w:r>
      <w:r>
        <w:t xml:space="preserve"> </w:t>
      </w:r>
      <w:r>
        <w:t xml:space="preserve">Stores serialise writes through a promise chain and temp-file-and-rename; the relayer fetches sources with bounded concurrency (</w:t>
      </w:r>
      <w:r>
        <w:rPr>
          <w:rStyle w:val="VerbatimChar"/>
        </w:rPr>
        <w:t xml:space="preserve">mapLimit</w:t>
      </w:r>
      <w:r>
        <w:t xml:space="preserve">) to respect free tiers.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algorithms.</w:t>
      </w:r>
      <w:r>
        <w:t xml:space="preserve"> </w:t>
      </w:r>
      <w:r>
        <w:t xml:space="preserve">scrypt password hashing, constant-time API-key comparison, HMAC-hardened session ids, single-use attempt-capped verification codes, and per-hour rate limits — each with regression tests.</w:t>
      </w:r>
    </w:p>
    <w:p>
      <w:pPr>
        <w:pStyle w:val="Heading3"/>
      </w:pPr>
      <w:bookmarkStart w:id="15" w:name="_a127d180ce4a8f20c8f7995e7ce2e2e1958090f"/>
      <w:r>
        <w:t xml:space="preserve">3.3 Testing and validation (two strategies, with results)</w:t>
      </w:r>
      <w:bookmarkEnd w:id="15"/>
    </w:p>
    <w:p>
      <w:pPr>
        <w:pStyle w:val="FirstParagraph"/>
      </w:pPr>
      <w:r>
        <w:rPr>
          <w:b/>
          <w:bCs/>
        </w:rPr>
        <w:t xml:space="preserve">Strategy 1 — Unit and functional testing (chosen because the contract invariants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the product’s fairness guarantees).</w:t>
      </w:r>
      <w:r>
        <w:t xml:space="preserve"> </w:t>
      </w:r>
      <w:r>
        <w:t xml:space="preserve">56 Solidity tests (Hardhat) including a fuzz test over pool reserves, plus 203 backend unit tests (</w:t>
      </w:r>
      <w:r>
        <w:rPr>
          <w:rStyle w:val="VerbatimChar"/>
        </w:rPr>
        <w:t xml:space="preserve">node:test</w:t>
      </w:r>
      <w:r>
        <w:t xml:space="preserve">) and 20 frontend tests (Vitest). Coverage includes: premium = 10% of payout rounded up, sales the pool cannot cover revert, payouts happen exactly once and only when rainfall &lt; threshold, and every audit finding pinned by a named regression test.</w:t>
      </w:r>
      <w:r>
        <w:t xml:space="preserve"> </w:t>
      </w:r>
      <w:r>
        <w:rPr>
          <w:i/>
          <w:iCs/>
        </w:rPr>
        <w:t xml:space="preserve">Result:</w:t>
      </w:r>
      <w:r>
        <w:t xml:space="preserve"> </w:t>
      </w:r>
      <w:r>
        <w:t xml:space="preserve">292 green; the suite caught real bugs (a GET-vs-POST resend route, a seed-time password leak, tests leaking into production data — all fixed and pinned).</w:t>
      </w:r>
    </w:p>
    <w:p>
      <w:pPr>
        <w:pStyle w:val="BodyText"/>
      </w:pPr>
      <w:r>
        <w:rPr>
          <w:b/>
          <w:bCs/>
        </w:rPr>
        <w:t xml:space="preserve">Strategy 2 — Integration and end-to-end testing (chosen because the guarantees span HTTP, storage, wallets and chain).</w:t>
      </w:r>
      <w:r>
        <w:t xml:space="preserve"> </w:t>
      </w:r>
      <w:r>
        <w:t xml:space="preserve">Mocha drives the contracts through ethers.js exactly as the app does (13 scenarios); auth routes run against a real Express server with real cookie jars; the deployed system was exercised live (the first policy bought and paid out autonomously).</w:t>
      </w:r>
      <w:r>
        <w:t xml:space="preserve"> </w:t>
      </w:r>
      <w:r>
        <w:rPr>
          <w:i/>
          <w:iCs/>
        </w:rPr>
        <w:t xml:space="preserve">Result:</w:t>
      </w:r>
      <w:r>
        <w:t xml:space="preserve"> </w:t>
      </w:r>
      <w:r>
        <w:t xml:space="preserve">verified in production; failures traced to wallet infrastructure (stale RPC state, wrong network) and hardened — gas pre-estimated on the app’s own RPC, account switches followed, wrong-chain signing refused.</w:t>
      </w:r>
    </w:p>
    <w:p>
      <w:pPr>
        <w:pStyle w:val="BodyText"/>
      </w:pPr>
      <w:r>
        <w:rPr>
          <w:i/>
          <w:iCs/>
        </w:rPr>
        <w:t xml:space="preserve">Validation:</w:t>
      </w:r>
      <w:r>
        <w:t xml:space="preserve"> </w:t>
      </w:r>
      <w:r>
        <w:t xml:space="preserve">invalid codes, wrong premiums, expired windows, role-escalation payloads and unreachable RPCs each produce a plain-language, actionable error.</w:t>
      </w:r>
    </w:p>
    <w:p>
      <w:pPr>
        <w:pStyle w:val="Heading3"/>
      </w:pPr>
      <w:bookmarkStart w:id="16" w:name="_751a7787a5773169347b6ce99779791725652ee"/>
      <w:r>
        <w:t xml:space="preserve">3.4 Performance and compatibility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 latency</w:t>
            </w:r>
          </w:p>
        </w:tc>
        <w:tc>
          <w:tcPr/>
          <w:p>
            <w:pPr>
              <w:pStyle w:val="Compact"/>
            </w:pPr>
            <w:r>
              <w:t xml:space="preserve">0.44–0.82 s per read</w:t>
            </w:r>
          </w:p>
        </w:tc>
        <w:tc>
          <w:tcPr/>
          <w:p>
            <w:pPr>
              <w:pStyle w:val="Compact"/>
            </w:pPr>
            <w:r>
              <w:t xml:space="preserve">Render free tier, warm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build</w:t>
            </w:r>
          </w:p>
        </w:tc>
        <w:tc>
          <w:tcPr/>
          <w:p>
            <w:pPr>
              <w:pStyle w:val="Compact"/>
            </w:pPr>
            <w:r>
              <w:t xml:space="preserve">8.3 s; 1.4 MB JS across lazy chunks</w:t>
            </w:r>
          </w:p>
        </w:tc>
        <w:tc>
          <w:tcPr/>
          <w:p>
            <w:pPr>
              <w:pStyle w:val="Compact"/>
            </w:pPr>
            <w:r>
              <w:t xml:space="preserve">Vite, code-split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test suite</w:t>
            </w:r>
          </w:p>
        </w:tc>
        <w:tc>
          <w:tcPr/>
          <w:p>
            <w:pPr>
              <w:pStyle w:val="Compact"/>
            </w:pPr>
            <w:r>
              <w:t xml:space="preserve">~6.5 s, 203 tests</w:t>
            </w:r>
          </w:p>
        </w:tc>
        <w:tc>
          <w:tcPr/>
          <w:p>
            <w:pPr>
              <w:pStyle w:val="Compact"/>
            </w:pPr>
            <w:r>
              <w:t xml:space="preserve">Node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Responsive desktop → 390 px mobile</w:t>
            </w:r>
          </w:p>
        </w:tc>
        <w:tc>
          <w:tcPr/>
          <w:p>
            <w:pPr>
              <w:pStyle w:val="Compact"/>
            </w:pPr>
            <w:r>
              <w:t xml:space="preserve">captures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</w:t>
            </w:r>
          </w:p>
        </w:tc>
        <w:tc>
          <w:tcPr/>
          <w:p>
            <w:pPr>
              <w:pStyle w:val="Compact"/>
            </w:pPr>
            <w:r>
              <w:t xml:space="preserve">Chrome/Edge, macOS &amp; Linux</w:t>
            </w:r>
          </w:p>
        </w:tc>
        <w:tc>
          <w:tcPr/>
          <w:p>
            <w:pPr>
              <w:pStyle w:val="Compact"/>
            </w:pPr>
            <w:r>
              <w:t xml:space="preserve">no browser-specific APIs beyond EIP-1193 wallet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Ethereum Sepolia (11155111), MetaMask</w:t>
            </w:r>
          </w:p>
        </w:tc>
        <w:tc>
          <w:tcPr/>
          <w:p>
            <w:pPr>
              <w:pStyle w:val="Compact"/>
            </w:pPr>
            <w:r>
              <w:t xml:space="preserve">hardened vs stale RPCs/wrong network</w:t>
            </w:r>
          </w:p>
        </w:tc>
      </w:tr>
    </w:tbl>
    <w:p>
      <w:pPr>
        <w:pStyle w:val="FirstParagraph"/>
      </w:pPr>
      <w:r>
        <w:t xml:space="preserve">The farmer side targets low-power hardware: the mobile layout renders at 390 px, naira figures degrade gracefully when FX providers are unavailable, and chain reads tolerate RPC hiccups (retry wrappers, cached reads).</w:t>
      </w:r>
    </w:p>
    <w:p>
      <w:pPr>
        <w:pStyle w:val="Heading3"/>
      </w:pPr>
      <w:bookmarkStart w:id="17" w:name="_db90eae255f73e3ac39348823f727874aafcdb0"/>
      <w:r>
        <w:t xml:space="preserve">3.5 Engineering quality</w:t>
      </w:r>
      <w:bookmarkEnd w:id="17"/>
    </w:p>
    <w:p>
      <w:pPr>
        <w:pStyle w:val="FirstParagraph"/>
      </w:pPr>
      <w:r>
        <w:t xml:space="preserve">Focused imperative commit history, consistent naming, comments at decision points (why, not what), strict TypeScript in both workspaces, and a documentation set: README, deployment guide, security audit, debugging journal, licences. The five most instructive production bugs are preserved in</w:t>
      </w:r>
      <w:r>
        <w:t xml:space="preserve"> </w:t>
      </w:r>
      <w:r>
        <w:rPr>
          <w:rStyle w:val="VerbatimChar"/>
        </w:rPr>
        <w:t xml:space="preserve">docs/debugging-journal.md</w:t>
      </w:r>
      <w:r>
        <w:t xml:space="preserve"> </w:t>
      </w:r>
      <w:r>
        <w:t xml:space="preserve">as an engineering record.</w:t>
      </w:r>
    </w:p>
    <w:p>
      <w:pPr>
        <w:pStyle w:val="BodyText"/>
      </w:pPr>
      <w:r>
        <w:rPr>
          <w:i/>
          <w:iCs/>
        </w:rPr>
        <w:t xml:space="preserve">Supporting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docs/screenshots/</w:t>
      </w:r>
      <w:r>
        <w:rPr>
          <w:i/>
          <w:iCs/>
        </w:rPr>
        <w:t xml:space="preserve"> </w:t>
      </w:r>
      <w:r>
        <w:rPr>
          <w:i/>
          <w:iCs/>
        </w:rPr>
        <w:t xml:space="preserve">(10 captioned figures),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docs/backtest-results.md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docs/debugging-journal.md</w:t>
      </w:r>
      <w:r>
        <w:rPr>
          <w:i/>
          <w:iCs/>
        </w:rPr>
        <w:t xml:space="preserve">, and the live deployment.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— Sokoto Rainfall Cover</dc:title>
  <dc:creator>Chinemerem Judith Ugbo · Supervisor: Dr Aaron Izang</dc:creator>
  <cp:keywords/>
  <dcterms:created xsi:type="dcterms:W3CDTF">2026-10-30T20:09:50Z</dcterms:created>
  <dcterms:modified xsi:type="dcterms:W3CDTF">2026-10-30T20:09:50Z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Capstone Project: Technical Implementation &amp; Development Progress</vt:lpwstr>
  </property>
</Properties>
</file>