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aec4a389ac2728b4b198c7ce943c702b6daf081"/>
      <w:r>
        <w:t xml:space="preserve">Technical report: Sokoto Rainfall Cover</w:t>
      </w:r>
      <w:bookmarkEnd w:id="9"/>
    </w:p>
    <w:p>
      <w:pPr>
        <w:pStyle w:val="FirstParagraph"/>
      </w:pPr>
      <w:r>
        <w:rPr>
          <w:b/>
          <w:bCs/>
        </w:rPr>
        <w:t xml:space="preserve">Capstone Project: Technical Implementation and Development Progress</w:t>
      </w:r>
      <w:r>
        <w:t xml:space="preserve"> </w:t>
      </w:r>
      <w:r>
        <w:t xml:space="preserve">· Chinemerem Judith Ugbo · Supervisor: Dr Aaron Izang</w:t>
      </w:r>
    </w:p>
    <w:p>
      <w:pPr>
        <w:pStyle w:val="BodyText"/>
      </w:pPr>
      <w:r>
        <w:t xml:space="preserve">A weather-index insurance platform on Ethereum: automatic drought cover for smallholder farmers in Sokoto State, Nigeria.</w:t>
      </w:r>
      <w:r>
        <w:t xml:space="preserve"> </w:t>
      </w:r>
      <w:r>
        <w:rPr>
          <w:i/>
          <w:iCs/>
        </w:rPr>
        <w:t xml:space="preserve">Repository:</w:t>
      </w:r>
      <w:r>
        <w:t xml:space="preserve"> </w:t>
      </w:r>
      <w:r>
        <w:rPr>
          <w:rStyle w:val="VerbatimChar"/>
        </w:rPr>
        <w:t xml:space="preserve">github.com/Phinatech/Capstone-project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Live:</w:t>
      </w:r>
      <w:r>
        <w:t xml:space="preserve"> </w:t>
      </w:r>
      <w:r>
        <w:rPr>
          <w:rStyle w:val="VerbatimChar"/>
        </w:rPr>
        <w:t xml:space="preserve">sokoto-cover.pages.dev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Chain:</w:t>
      </w:r>
      <w:r>
        <w:t xml:space="preserve"> </w:t>
      </w:r>
      <w:r>
        <w:t xml:space="preserve">Ethereum Sepolia</w:t>
      </w:r>
    </w:p>
    <w:p>
      <w:pPr>
        <w:pStyle w:val="Heading2"/>
      </w:pPr>
      <w:bookmarkStart w:id="10" w:name="_beaea4cdf199bb742cc976d3973daff328a8a8c"/>
      <w:r>
        <w:t xml:space="preserve">1. Scope Alignment &amp; Feature Validation</w:t>
      </w:r>
      <w:bookmarkEnd w:id="10"/>
    </w:p>
    <w:p>
      <w:pPr>
        <w:pStyle w:val="FirstParagraph"/>
      </w:pPr>
      <w:r>
        <w:t xml:space="preserve">The approved scope proposed a blockchain-based weather-index insurance system in which rainfall is measured by multiple independent sources, policies are sold and settled by smart contracts without a claims process, and farmers, field agents and administrators manage cover through a web application. The delivered system matches that scope. One planned element (SMS delivery) is implemented but optional in configuration, and fiat settlement is deferred because it requires a licensed payment provider.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Planned Feature</w:t>
            </w:r>
          </w:p>
        </w:tc>
        <w:tc>
          <w:tcPr/>
          <w:p>
            <w:pPr>
              <w:pStyle w:val="Compact"/>
            </w:pPr>
            <w:r>
              <w:t xml:space="preserve">Intended Purpose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contracts: policy sale, premium, payout reserve</w:t>
            </w:r>
          </w:p>
        </w:tc>
        <w:tc>
          <w:tcPr/>
          <w:p>
            <w:pPr>
              <w:pStyle w:val="Compact"/>
            </w:pPr>
            <w:r>
              <w:t xml:space="preserve">Sell cover; guarantee payout trustlessly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M1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WeatherIndexInsurance.sol</w:t>
            </w:r>
            <w:r>
              <w:t xml:space="preserve">; 56 tests; Policy #0 bought and paid out on Sepolia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Multi-source oracle with reputation-weighted aggregation</w:t>
            </w:r>
          </w:p>
        </w:tc>
        <w:tc>
          <w:tcPr/>
          <w:p>
            <w:pPr>
              <w:pStyle w:val="Compact"/>
            </w:pPr>
            <w:r>
              <w:t xml:space="preserve">One source cannot decide a claim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M2 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OracleAggregator.sol</w:t>
            </w:r>
            <w:r>
              <w:t xml:space="preserve">; 3 live sources; simulator Fig.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oracle relayer and settlement keeper</w:t>
            </w:r>
          </w:p>
        </w:tc>
        <w:tc>
          <w:tcPr/>
          <w:p>
            <w:pPr>
              <w:pStyle w:val="Compact"/>
            </w:pPr>
            <w:r>
              <w:t xml:space="preserve">Report rainfall and pay farmers unattended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M2 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relayer.ts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settlement.ts</w:t>
            </w:r>
            <w:r>
              <w:t xml:space="preserve">; Policy #0’s live payout ran autonomously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 portal (buy cover, monitor, payouts)</w:t>
            </w:r>
          </w:p>
        </w:tc>
        <w:tc>
          <w:tcPr/>
          <w:p>
            <w:pPr>
              <w:pStyle w:val="Compact"/>
            </w:pPr>
            <w:r>
              <w:t xml:space="preserve">Self-service cover with a wallet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M3 Portals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/farmer/*</w:t>
            </w:r>
            <w:r>
              <w:t xml:space="preserve">; screenshots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Field-agent portal (sell cover, naira receipts)</w:t>
            </w:r>
          </w:p>
        </w:tc>
        <w:tc>
          <w:tcPr/>
          <w:p>
            <w:pPr>
              <w:pStyle w:val="Compact"/>
            </w:pPr>
            <w:r>
              <w:t xml:space="preserve">Reach farmers without wallets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M3 Portals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/agent/*</w:t>
            </w:r>
            <w:r>
              <w:t xml:space="preserve">; receipts verified server-side against the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console (policies, farmers and agents, analytics)</w:t>
            </w:r>
          </w:p>
        </w:tc>
        <w:tc>
          <w:tcPr/>
          <w:p>
            <w:pPr>
              <w:pStyle w:val="Compact"/>
            </w:pPr>
            <w:r>
              <w:t xml:space="preserve">Operate and audit the scheme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M3 Portals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</w:t>
            </w:r>
            <w:r>
              <w:t xml:space="preserve">; screenshots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research tools (consensus simulator, backtest)</w:t>
            </w:r>
          </w:p>
        </w:tc>
        <w:tc>
          <w:tcPr/>
          <w:p>
            <w:pPr>
              <w:pStyle w:val="Compact"/>
            </w:pPr>
            <w:r>
              <w:t xml:space="preserve">Study and demonstrate the consensus 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M4 Research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/admin/backtest</w:t>
            </w:r>
            <w:r>
              <w:t xml:space="preserve">; 121 historical dekads (</w:t>
            </w:r>
            <w:r>
              <w:rPr>
                <w:rStyle w:val="VerbatimChar"/>
              </w:rPr>
              <w:t xml:space="preserve">backtest-results.md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(in-app, email codes, SMS/Telegram)</w:t>
            </w:r>
          </w:p>
        </w:tc>
        <w:tc>
          <w:tcPr/>
          <w:p>
            <w:pPr>
              <w:pStyle w:val="Compact"/>
            </w:pPr>
            <w:r>
              <w:t xml:space="preserve">Tell farmers about purchases and payouts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(SMS optional)</w:t>
            </w:r>
            <w:r>
              <w:t xml:space="preserve"> </w:t>
            </w:r>
            <w:r>
              <w:t xml:space="preserve">· M4 Research</w:t>
            </w:r>
          </w:p>
        </w:tc>
        <w:tc>
          <w:tcPr/>
          <w:p>
            <w:pPr>
              <w:pStyle w:val="Compact"/>
            </w:pPr>
            <w:r>
              <w:t xml:space="preserve">real event notifications; email codes; SMS behind</w:t>
            </w:r>
            <w:r>
              <w:t xml:space="preserve"> </w:t>
            </w:r>
            <w:r>
              <w:rPr>
                <w:rStyle w:val="VerbatimChar"/>
              </w:rPr>
              <w:t xml:space="preserve">SMS_PROVIDER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and security audit</w:t>
            </w:r>
          </w:p>
        </w:tc>
        <w:tc>
          <w:tcPr/>
          <w:p>
            <w:pPr>
              <w:pStyle w:val="Compact"/>
            </w:pPr>
            <w:r>
              <w:t xml:space="preserve">Validate and harden the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M5 Validation</w:t>
            </w:r>
          </w:p>
        </w:tc>
        <w:tc>
          <w:tcPr/>
          <w:p>
            <w:pPr>
              <w:pStyle w:val="Compact"/>
            </w:pPr>
            <w:r>
              <w:t xml:space="preserve">292 tests;</w:t>
            </w:r>
            <w:r>
              <w:t xml:space="preserve"> </w:t>
            </w:r>
            <w:r>
              <w:rPr>
                <w:rStyle w:val="VerbatimChar"/>
              </w:rPr>
              <w:t xml:space="preserve">security-audit.md</w:t>
            </w:r>
            <w:r>
              <w:t xml:space="preserve">, fixes pinned by regressions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(public site and testnet)</w:t>
            </w:r>
          </w:p>
        </w:tc>
        <w:tc>
          <w:tcPr/>
          <w:p>
            <w:pPr>
              <w:pStyle w:val="Compact"/>
            </w:pPr>
            <w:r>
              <w:t xml:space="preserve">Working product, end to 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· M5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sokoto-cover.pages.dev</w:t>
            </w:r>
            <w:r>
              <w:t xml:space="preserve"> </w:t>
            </w:r>
            <w:r>
              <w:t xml:space="preserve">+ Render + Sepolia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Fiat settlement (naira off-ramp)</w:t>
            </w:r>
          </w:p>
        </w:tc>
        <w:tc>
          <w:tcPr/>
          <w:p>
            <w:pPr>
              <w:pStyle w:val="Compact"/>
            </w:pPr>
            <w:r>
              <w:t xml:space="preserve">Pay farmers in naira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implemented; justified</w:t>
            </w:r>
            <w:r>
              <w:t xml:space="preserve"> </w:t>
            </w:r>
            <w:r>
              <w:t xml:space="preserve">· M6 Future</w:t>
            </w:r>
          </w:p>
        </w:tc>
        <w:tc>
          <w:tcPr/>
          <w:p>
            <w:pPr>
              <w:pStyle w:val="Compact"/>
            </w:pPr>
            <w:r>
              <w:t xml:space="preserve">needs a licensed provider; receipts record the naira leg; future work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Scope changes.</w:t>
      </w:r>
      <w:r>
        <w:t xml:space="preserve"> </w:t>
      </w:r>
      <w:r>
        <w:t xml:space="preserve">Nothing was dropped for convenience. The naira leg was designed as receipted off-chain settlement from the start, since a licensed off-ramp is beyond a student project. Deployment widened from a local chain to live Sepolia, which added wallet integration, RPC resilience and network-safety work.</w:t>
      </w:r>
    </w:p>
    <w:p>
      <w:pPr>
        <w:pStyle w:val="Heading2"/>
      </w:pPr>
      <w:bookmarkStart w:id="11" w:name="_be2e093980b411b7edbc3beeba725424f6a1fd1"/>
      <w:r>
        <w:t xml:space="preserve">2. Technical Product Demonstration</w:t>
      </w:r>
      <w:bookmarkEnd w:id="11"/>
    </w:p>
    <w:p>
      <w:pPr>
        <w:pStyle w:val="FirstParagraph"/>
      </w:pPr>
      <w:r>
        <w:t xml:space="preserve">The walkthrough video (linked in the README) covers these in order.</w:t>
      </w:r>
    </w:p>
    <w:p>
      <w:pPr>
        <w:pStyle w:val="BodyText"/>
      </w:pPr>
      <w:r>
        <w:rPr>
          <w:b/>
          <w:bCs/>
        </w:rPr>
        <w:t xml:space="preserve">A. Core functionalities.</w:t>
      </w:r>
      <w:r>
        <w:t xml:space="preserve"> </w:t>
      </w:r>
      <w:r>
        <w:t xml:space="preserve">Policy purchase by an agent and by a farmer; the farmer dashboard and payouts ledger; the admin’s oracle evaluation view; the consensus simulator corrupting one source; the backtest.</w:t>
      </w:r>
    </w:p>
    <w:p>
      <w:pPr>
        <w:pStyle w:val="BodyText"/>
      </w:pPr>
      <w:r>
        <w:rPr>
          <w:b/>
          <w:bCs/>
        </w:rPr>
        <w:t xml:space="preserve">B. Technical requirements.</w:t>
      </w:r>
      <w:r>
        <w:t xml:space="preserve"> </w:t>
      </w:r>
      <w:r>
        <w:t xml:space="preserve">Each screen is shown wired end to end: React/TypeScript to Express/TypeScript to Firebase to ethers.js to Solidity on Sepolia, fed by three live rainfall APIs.</w:t>
      </w:r>
    </w:p>
    <w:p>
      <w:pPr>
        <w:pStyle w:val="BodyText"/>
      </w:pPr>
      <w:r>
        <w:rPr>
          <w:b/>
          <w:bCs/>
        </w:rPr>
        <w:t xml:space="preserve">C. Testing with inputs.</w:t>
      </w:r>
      <w:r>
        <w:t xml:space="preserve"> </w:t>
      </w:r>
      <w:r>
        <w:t xml:space="preserve">The video shows a wrong premium, a closed window, insufficient pool capacity, a wrong wallet network, invalid codes and role escalation each refused safely, with a plain-language error.</w:t>
      </w:r>
    </w:p>
    <w:p>
      <w:pPr>
        <w:pStyle w:val="BodyText"/>
      </w:pPr>
      <w:r>
        <w:rPr>
          <w:b/>
          <w:bCs/>
        </w:rPr>
        <w:t xml:space="preserve">D. Testing strategies.</w:t>
      </w:r>
      <w:r>
        <w:t xml:space="preserve"> </w:t>
      </w:r>
      <w:r>
        <w:t xml:space="preserve">Unit and functional testing plus integration testing (section 3.3).</w:t>
      </w:r>
      <w:r>
        <w:t xml:space="preserve"> </w:t>
      </w:r>
      <w:r>
        <w:rPr>
          <w:b/>
          <w:bCs/>
        </w:rPr>
        <w:t xml:space="preserve">E. Performance and compatibility.</w:t>
      </w:r>
      <w:r>
        <w:t xml:space="preserve"> </w:t>
      </w:r>
      <w:r>
        <w:t xml:space="preserve">Measured latency and bundle sizes (section 3.4), desktop and mobile layouts, and a live cross-browser check.</w:t>
      </w:r>
    </w:p>
    <w:p>
      <w:pPr>
        <w:pStyle w:val="Heading2"/>
      </w:pPr>
      <w:bookmarkStart w:id="12" w:name="_e67d4b4221587c501332962336c46306f2b0389"/>
      <w:r>
        <w:t xml:space="preserve">3. Code Quality and Technical Implementation</w:t>
      </w:r>
      <w:bookmarkEnd w:id="12"/>
    </w:p>
    <w:p>
      <w:pPr>
        <w:pStyle w:val="Heading3"/>
      </w:pPr>
      <w:bookmarkStart w:id="13" w:name="_4c01f02e15ac4d4f3541a8f7e7b755a34c17d56"/>
      <w:r>
        <w:t xml:space="preserve">3.1 OOP principles and architecture</w:t>
      </w:r>
      <w:bookmarkEnd w:id="13"/>
    </w:p>
    <w:p>
      <w:pPr>
        <w:pStyle w:val="FirstParagraph"/>
      </w:pPr>
      <w:r>
        <w:t xml:space="preserve">The codebase is organised by layer (</w:t>
      </w:r>
      <w:r>
        <w:rPr>
          <w:rStyle w:val="VerbatimChar"/>
        </w:rPr>
        <w:t xml:space="preserve">blockchain/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 with clear separation of concerns and no monolithic scripts.</w:t>
      </w:r>
    </w:p>
    <w:p>
      <w:pPr>
        <w:pStyle w:val="BodyText"/>
      </w:pPr>
      <w:r>
        <w:rPr>
          <w:i/>
          <w:iCs/>
        </w:rPr>
        <w:t xml:space="preserve">Encapsulation and abstraction.</w:t>
      </w:r>
      <w:r>
        <w:t xml:space="preserve"> </w:t>
      </w:r>
      <w:r>
        <w:t xml:space="preserve">Each store (</w:t>
      </w:r>
      <w:r>
        <w:rPr>
          <w:rStyle w:val="VerbatimChar"/>
        </w:rPr>
        <w:t xml:space="preserve">createUserStore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createSessionStore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createAgentStore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createAuthCodeStore</w:t>
      </w:r>
      <w:r>
        <w:t xml:space="preserve">) hides its persistence behind one</w:t>
      </w:r>
      <w:r>
        <w:t xml:space="preserve"> </w:t>
      </w:r>
      <w:r>
        <w:rPr>
          <w:rStyle w:val="VerbatimChar"/>
        </w:rPr>
        <w:t xml:space="preserve">StorePersistence</w:t>
      </w:r>
      <w:r>
        <w:t xml:space="preserve"> </w:t>
      </w:r>
      <w:r>
        <w:t xml:space="preserve">interface, so the application does not care whether records live in Firestore, a JSON file or memory. The policy layer hides its providers behind</w:t>
      </w:r>
      <w:r>
        <w:t xml:space="preserve"> </w:t>
      </w:r>
      <w:r>
        <w:rPr>
          <w:rStyle w:val="VerbatimChar"/>
        </w:rPr>
        <w:t xml:space="preserve">usePolicies()</w:t>
      </w:r>
      <w:r>
        <w:t xml:space="preserve"> </w:t>
      </w:r>
      <w:r>
        <w:t xml:space="preserve">the same way.</w:t>
      </w:r>
    </w:p>
    <w:p>
      <w:pPr>
        <w:pStyle w:val="BodyText"/>
      </w:pPr>
      <w:r>
        <w:rPr>
          <w:i/>
          <w:iCs/>
        </w:rPr>
        <w:t xml:space="preserve">Polymorphism.</w:t>
      </w:r>
      <w:r>
        <w:t xml:space="preserve"> </w:t>
      </w:r>
      <w:r>
        <w:t xml:space="preserve">Persistence backends are interchangeable strategies (production, development, tests) chosen once at start-up. The consensus simulator runs three aggregation strategies behind one interface.</w:t>
      </w:r>
    </w:p>
    <w:p>
      <w:pPr>
        <w:pStyle w:val="BodyText"/>
      </w:pPr>
      <w:r>
        <w:rPr>
          <w:i/>
          <w:iCs/>
        </w:rPr>
        <w:t xml:space="preserve">Inheritance and reusable components.</w:t>
      </w:r>
      <w:r>
        <w:t xml:space="preserve"> </w:t>
      </w:r>
      <w:r>
        <w:rPr>
          <w:rStyle w:val="VerbatimChar"/>
        </w:rPr>
        <w:t xml:space="preserve">ErrorBoundary</w:t>
      </w:r>
      <w:r>
        <w:t xml:space="preserve"> </w:t>
      </w:r>
      <w:r>
        <w:t xml:space="preserve">extends React.Component once and protects every route. Typed contracts (User, Policy, StorePersistence) are implemented by interchangeable parts, and shared components (</w:t>
      </w:r>
      <w:r>
        <w:rPr>
          <w:rStyle w:val="VerbatimChar"/>
        </w:rPr>
        <w:t xml:space="preserve">PolicyBrowser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</w:t>
      </w:r>
      <w:r>
        <w:t xml:space="preserve">) serve all three portals.</w:t>
      </w:r>
    </w:p>
    <w:p>
      <w:pPr>
        <w:pStyle w:val="BodyText"/>
      </w:pPr>
      <w:r>
        <w:rPr>
          <w:i/>
          <w:iCs/>
        </w:rPr>
        <w:t xml:space="preserve">Dependency injection and modularity.</w:t>
      </w:r>
      <w:r>
        <w:t xml:space="preserve"> </w:t>
      </w:r>
      <w:r>
        <w:rPr>
          <w:rStyle w:val="VerbatimChar"/>
        </w:rPr>
        <w:t xml:space="preserve">createAuthRouter({ users, sessions, authCodes })</w:t>
      </w:r>
      <w:r>
        <w:t xml:space="preserve"> </w:t>
      </w:r>
      <w:r>
        <w:t xml:space="preserve">receives its collaborators, so end-to-end tests exercise the real router against isolated stores. Pure utilities (</w:t>
      </w:r>
      <w:r>
        <w:rPr>
          <w:rStyle w:val="VerbatimChar"/>
        </w:rPr>
        <w:t xml:space="preserve">utils/oracle.ts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utils/currency.ts</w:t>
      </w:r>
      <w:r>
        <w:t xml:space="preserve">) and the Context tree layer shared behaviour without duplication.</w:t>
      </w:r>
    </w:p>
    <w:p>
      <w:pPr>
        <w:pStyle w:val="Heading3"/>
      </w:pPr>
      <w:bookmarkStart w:id="14" w:name="_b1640c7a4d5708bf2f95cf4b507024eaaff7126"/>
      <w:r>
        <w:t xml:space="preserve">3.2 Algorithms and problem-solving</w:t>
      </w:r>
      <w:bookmarkEnd w:id="14"/>
    </w:p>
    <w:p>
      <w:pPr>
        <w:pStyle w:val="FirstParagraph"/>
      </w:pPr>
      <w:r>
        <w:rPr>
          <w:i/>
          <w:iCs/>
        </w:rPr>
        <w:t xml:space="preserve">Reputation-weighted consensus.</w:t>
      </w:r>
      <w:r>
        <w:t xml:space="preserve"> </w:t>
      </w:r>
      <w:r>
        <w:t xml:space="preserve">Dekad rainfall is a weighted average over reporting sources, with weights from peer-agreement scores, so a corrupt source loses weight at once and keeps losing it. The simulator shows a corrupted feed moving the aggregate by 9% under reputation weights and 59% under equal weights.</w:t>
      </w:r>
    </w:p>
    <w:p>
      <w:pPr>
        <w:pStyle w:val="BodyText"/>
      </w:pPr>
      <w:r>
        <w:rPr>
          <w:i/>
          <w:iCs/>
        </w:rPr>
        <w:t xml:space="preserve">Out-of-sample backtest.</w:t>
      </w:r>
      <w:r>
        <w:t xml:space="preserve"> </w:t>
      </w:r>
      <w:r>
        <w:t xml:space="preserve">Weights are learned from inverse MSE on all years except the scored year, with 2,000-resample bootstrap confidence intervals, so the evaluation never fits the test data (</w:t>
      </w:r>
      <w:r>
        <w:rPr>
          <w:rStyle w:val="VerbatimChar"/>
        </w:rPr>
        <w:t xml:space="preserve">backtest-results.md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Fixed-point time-series arithmetic.</w:t>
      </w:r>
      <w:r>
        <w:t xml:space="preserve"> </w:t>
      </w:r>
      <w:r>
        <w:t xml:space="preserve">Rainfall is stored as integer hundredths of millimetres and dekads as period ids (YYYYMMD). A window sums exactly the periods it contains, so settlement is exact and auditable.</w:t>
      </w:r>
    </w:p>
    <w:p>
      <w:pPr>
        <w:pStyle w:val="BodyText"/>
      </w:pPr>
      <w:r>
        <w:rPr>
          <w:i/>
          <w:iCs/>
        </w:rPr>
        <w:t xml:space="preserve">Concurrency-safe persistence.</w:t>
      </w:r>
      <w:r>
        <w:t xml:space="preserve"> </w:t>
      </w:r>
      <w:r>
        <w:t xml:space="preserve">Stores serialise writes through a promise chain and write to a temporary file before renaming it, which makes each update atomic. The relayer fetches sources with bounded concurrency (</w:t>
      </w:r>
      <w:r>
        <w:rPr>
          <w:rStyle w:val="VerbatimChar"/>
        </w:rPr>
        <w:t xml:space="preserve">mapLimit</w:t>
      </w:r>
      <w:r>
        <w:t xml:space="preserve">) to respect free API tiers.</w:t>
      </w:r>
    </w:p>
    <w:p>
      <w:pPr>
        <w:pStyle w:val="BodyText"/>
      </w:pPr>
      <w:r>
        <w:rPr>
          <w:i/>
          <w:iCs/>
        </w:rPr>
        <w:t xml:space="preserve">Security primitives.</w:t>
      </w:r>
      <w:r>
        <w:t xml:space="preserve"> </w:t>
      </w:r>
      <w:r>
        <w:t xml:space="preserve">The system uses scrypt password hashing, constant-time API-key comparison, single-use attempt-capped verification codes and per-hour rate limits, each with regression tests.</w:t>
      </w:r>
    </w:p>
    <w:p>
      <w:pPr>
        <w:pStyle w:val="Heading3"/>
      </w:pPr>
      <w:bookmarkStart w:id="15" w:name="_a0f11a5ab406b681e829ee64a4e6f94f7471e0b"/>
      <w:r>
        <w:t xml:space="preserve">3.3 Testing and validation</w:t>
      </w:r>
      <w:bookmarkEnd w:id="15"/>
    </w:p>
    <w:p>
      <w:pPr>
        <w:pStyle w:val="FirstParagraph"/>
      </w:pPr>
      <w:r>
        <w:rPr>
          <w:b/>
          <w:bCs/>
        </w:rPr>
        <w:t xml:space="preserve">Strategy 1: unit and functional testing.</w:t>
      </w:r>
      <w:r>
        <w:t xml:space="preserve"> </w:t>
      </w:r>
      <w:r>
        <w:t xml:space="preserve">Selected because the contract invariants are the product’s fairness guarantees. The suite runs 56 Solidity tests (including a fuzz test over pool reserves), 203 backend unit tests and 20 frontend tests. It covers premium maths (10% of the payout, rounded up), reverting sales the pool cannot cover, payouts that happen once and only below the threshold, and every audit finding pinned by a named regression test. Result: 292 tests green, and the suite caught real defects (a GET-versus-POST resend route, a password stored in clear text at seed time, tests writing into production data), each fixed and pinned.</w:t>
      </w:r>
    </w:p>
    <w:p>
      <w:pPr>
        <w:pStyle w:val="BodyText"/>
      </w:pPr>
      <w:r>
        <w:rPr>
          <w:b/>
          <w:bCs/>
        </w:rPr>
        <w:t xml:space="preserve">Strategy 2: integration and end-to-end testing.</w:t>
      </w:r>
      <w:r>
        <w:t xml:space="preserve"> </w:t>
      </w:r>
      <w:r>
        <w:t xml:space="preserve">Selected because the guarantees span HTTP, storage, wallet and chain. Mocha drives the contracts through ethers.js as the application does (13 scenarios); auth routes run against a real Express server with cookie jars; the deployed system was exercised live, and the first policy was bought and paid out autonomously. Result: flows verified in production. Failures traced to wallet infrastructure (stale RPC state, wrong network) led to hardening: gas pre-estimated on the app’s own RPC, account switches followed, wrong-chain signing refused.</w:t>
      </w:r>
    </w:p>
    <w:p>
      <w:pPr>
        <w:pStyle w:val="BodyText"/>
      </w:pPr>
      <w:r>
        <w:rPr>
          <w:i/>
          <w:iCs/>
        </w:rPr>
        <w:t xml:space="preserve">Validation.</w:t>
      </w:r>
      <w:r>
        <w:t xml:space="preserve"> </w:t>
      </w:r>
      <w:r>
        <w:t xml:space="preserve">Invalid codes, wrong premiums, expired windows, role-escalation payloads and unreachable RPCs each produce a plain-language error rather than provider jargon.</w:t>
      </w:r>
    </w:p>
    <w:p>
      <w:pPr>
        <w:pStyle w:val="Heading3"/>
      </w:pPr>
      <w:bookmarkStart w:id="16" w:name="_751a7787a5773169347b6ce99779791725652ee"/>
      <w:r>
        <w:t xml:space="preserve">3.4 Performance and compatibility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latency</w:t>
            </w:r>
          </w:p>
        </w:tc>
        <w:tc>
          <w:tcPr/>
          <w:p>
            <w:pPr>
              <w:pStyle w:val="Compact"/>
            </w:pPr>
            <w:r>
              <w:t xml:space="preserve">0.44 to 0.82 s per read</w:t>
            </w:r>
          </w:p>
        </w:tc>
        <w:tc>
          <w:tcPr/>
          <w:p>
            <w:pPr>
              <w:pStyle w:val="Compact"/>
            </w:pPr>
            <w:r>
              <w:t xml:space="preserve">Render free tier, warm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build</w:t>
            </w:r>
          </w:p>
        </w:tc>
        <w:tc>
          <w:tcPr/>
          <w:p>
            <w:pPr>
              <w:pStyle w:val="Compact"/>
            </w:pPr>
            <w:r>
              <w:t xml:space="preserve">8.3 s; 1.4 MB JS across lazy chunks</w:t>
            </w:r>
          </w:p>
        </w:tc>
        <w:tc>
          <w:tcPr/>
          <w:p>
            <w:pPr>
              <w:pStyle w:val="Compact"/>
            </w:pPr>
            <w:r>
              <w:t xml:space="preserve">Vite production build, code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test suite</w:t>
            </w:r>
          </w:p>
        </w:tc>
        <w:tc>
          <w:tcPr/>
          <w:p>
            <w:pPr>
              <w:pStyle w:val="Compact"/>
            </w:pPr>
            <w:r>
              <w:t xml:space="preserve">~6.5 s, 203 tests</w:t>
            </w:r>
          </w:p>
        </w:tc>
        <w:tc>
          <w:tcPr/>
          <w:p>
            <w:pPr>
              <w:pStyle w:val="Compact"/>
            </w:pPr>
            <w:r>
              <w:t xml:space="preserve">Node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Responsive from desktop down to 390 px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Browsers</w:t>
            </w:r>
          </w:p>
        </w:tc>
        <w:tc>
          <w:tcPr/>
          <w:p>
            <w:pPr>
              <w:pStyle w:val="Compact"/>
            </w:pPr>
            <w:r>
              <w:t xml:space="preserve">Chrome, Edge, Firefox, Safari checked on the same build</w:t>
            </w:r>
          </w:p>
        </w:tc>
        <w:tc>
          <w:tcPr/>
          <w:p>
            <w:pPr>
              <w:pStyle w:val="Compact"/>
            </w:pPr>
            <w:r>
              <w:t xml:space="preserve">walkthrough video, Scene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MetaMask on Sepolia, hardened against stale RPCs and wrong networks</w:t>
            </w:r>
          </w:p>
        </w:tc>
        <w:tc>
          <w:tcPr/>
          <w:p>
            <w:pPr>
              <w:pStyle w:val="Compact"/>
            </w:pPr>
            <w:r>
              <w:t xml:space="preserve">EIP-1193 only; no browser-specific APIs</w:t>
            </w:r>
          </w:p>
        </w:tc>
      </w:tr>
    </w:tbl>
    <w:p>
      <w:pPr>
        <w:pStyle w:val="FirstParagraph"/>
      </w:pPr>
      <w:r>
        <w:t xml:space="preserve">The farmer side targets low-power hardware: the layout renders at 390 px, naira figures degrade gracefully when FX providers are down, and chain reads recover from RPC hiccups through retries.</w:t>
      </w:r>
    </w:p>
    <w:p>
      <w:pPr>
        <w:pStyle w:val="Heading3"/>
      </w:pPr>
      <w:bookmarkStart w:id="17" w:name="_db90eae255f73e3ac39348823f727874aafcdb0"/>
      <w:r>
        <w:t xml:space="preserve">3.5 Engineering quality</w:t>
      </w:r>
      <w:bookmarkEnd w:id="17"/>
    </w:p>
    <w:p>
      <w:pPr>
        <w:pStyle w:val="FirstParagraph"/>
      </w:pPr>
      <w:r>
        <w:t xml:space="preserve">Commits are focused and imperative, naming is consistent, and comments explain decisions rather than restating code. Both workspaces compile under strict TypeScript. Supporting evidence lives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(10 figures),</w:t>
      </w:r>
      <w:r>
        <w:t xml:space="preserve"> </w:t>
      </w:r>
      <w:r>
        <w:rPr>
          <w:rStyle w:val="VerbatimChar"/>
        </w:rPr>
        <w:t xml:space="preserve">docs/backtest-results.md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docs/debugging-journal.md</w:t>
      </w:r>
      <w:r>
        <w:t xml:space="preserve"> </w:t>
      </w:r>
      <w:r>
        <w:t xml:space="preserve">and the live deployment.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2026-10-30T23:38:01Z</dcterms:created>
  <dcterms:modified xsi:type="dcterms:W3CDTF">2026-10-30T23:38:01Z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