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Big Five Inventory-10 (BFI-10)</w:t>
      </w:r>
    </w:p>
    <w:p>
      <w:pPr>
        <w:pStyle w:val="Normal"/>
        <w:bidi w:val="0"/>
        <w:jc w:val="left"/>
        <w:rPr/>
      </w:pPr>
      <w:r>
        <w:rPr/>
      </w:r>
    </w:p>
    <w:p>
      <w:pPr>
        <w:pStyle w:val="Normal"/>
        <w:bidi w:val="0"/>
        <w:jc w:val="left"/>
        <w:rPr/>
      </w:pPr>
      <w:r>
        <w:rPr/>
        <w:t>Summarized for Abstract:</w:t>
      </w:r>
    </w:p>
    <w:p>
      <w:pPr>
        <w:pStyle w:val="Normal"/>
        <w:bidi w:val="0"/>
        <w:jc w:val="left"/>
        <w:rPr/>
      </w:pPr>
      <w:r>
        <w:rPr/>
      </w:r>
    </w:p>
    <w:p>
      <w:pPr>
        <w:pStyle w:val="Normal"/>
        <w:bidi w:val="0"/>
        <w:jc w:val="left"/>
        <w:rPr/>
      </w:pPr>
      <w:r>
        <w:rPr/>
        <w:t>The Big Five Inventory-10 (BFI-10) is a brief personality assessment tool that measures five core personality traits: extraversion, agreeableness, conscientiousness, neuroticism, and openness to experience. Developed by Rammstedt and John in 2007, the BFI-10 consists of 10 statements that assess an individual's self-perception of their personality. Participants rate each statement on a five-point Likert scale ranging from "strongly disagree" to "strongly agree". The scoring system of the BFI-10 scales each statement to the corresponding trait. Some of the items are reverse-scored, meaning that the responses are reversed in the scoring process to measure the opposite of the trait. The BFI-10 is a quick and easy tool to assess personality traits, taking only a minute to complete. Its brevity makes it a useful tool in large-scale studies and situations where time is limited.</w:t>
      </w:r>
    </w:p>
    <w:p>
      <w:pPr>
        <w:pStyle w:val="Normal"/>
        <w:bidi w:val="0"/>
        <w:jc w:val="left"/>
        <w:rPr/>
      </w:pPr>
      <w:r>
        <w:rPr/>
      </w:r>
    </w:p>
    <w:p>
      <w:pPr>
        <w:pStyle w:val="Normal"/>
        <w:bidi w:val="0"/>
        <w:jc w:val="left"/>
        <w:rPr/>
      </w:pPr>
      <w:r>
        <w:rPr/>
      </w:r>
    </w:p>
    <w:p>
      <w:pPr>
        <w:pStyle w:val="Normal"/>
        <w:bidi w:val="0"/>
        <w:jc w:val="left"/>
        <w:rPr/>
      </w:pPr>
      <w:r>
        <w:rPr/>
        <w:t>In Detail:</w:t>
      </w:r>
    </w:p>
    <w:p>
      <w:pPr>
        <w:pStyle w:val="Normal"/>
        <w:bidi w:val="0"/>
        <w:jc w:val="left"/>
        <w:rPr/>
      </w:pPr>
      <w:r>
        <w:rPr/>
      </w:r>
    </w:p>
    <w:p>
      <w:pPr>
        <w:pStyle w:val="TextBody"/>
        <w:bidi w:val="0"/>
        <w:jc w:val="left"/>
        <w:rPr/>
      </w:pPr>
      <w:r>
        <w:rPr/>
        <w:t xml:space="preserve">The Big Five Inventory-10 (BFI-10) is a short, 10-item questionnaire designed to measure the five dimensions of personality, known as the Big Five: extraversion, agreeableness, conscientiousness, neuroticism, and openness to experience. The BFI-10 was adapted from the longer Big Five Inventory and can be completed in one minute or less. Respondents rate how well each statement describes their personality on a </w:t>
      </w:r>
      <w:r>
        <w:rPr>
          <w:b/>
          <w:bCs/>
        </w:rPr>
        <w:t>5-point Likert scale</w:t>
      </w:r>
      <w:r>
        <w:rPr/>
        <w:t>, ranging from "disagree strongly" to "agree strongly."</w:t>
      </w:r>
    </w:p>
    <w:p>
      <w:pPr>
        <w:pStyle w:val="TextBody"/>
        <w:bidi w:val="0"/>
        <w:spacing w:lineRule="auto" w:line="276" w:before="0" w:after="140"/>
        <w:jc w:val="left"/>
        <w:rPr/>
      </w:pPr>
      <w:r>
        <w:rPr/>
        <w:t>The BFI-10 items are scored differently depending on the dimension they measure. Items 1 and 5 are reverse-scored for extraversion, items 2 and 7 are reverse-scored for agreeableness, items 3 and 8 are reverse-scored for conscientiousness, item 4 and 9 are reverse-scored for neuroticism, and items 5 and 10 are reverse-scored for openness to experience. The table below shows the items and their associated dimensions and scoring.</w:t>
      </w:r>
    </w:p>
    <w:tbl>
      <w:tblPr>
        <w:tblW w:w="9972" w:type="dxa"/>
        <w:jc w:val="left"/>
        <w:tblInd w:w="0" w:type="dxa"/>
        <w:tblLayout w:type="fixed"/>
        <w:tblCellMar>
          <w:top w:w="28" w:type="dxa"/>
          <w:left w:w="28" w:type="dxa"/>
          <w:bottom w:w="28" w:type="dxa"/>
          <w:right w:w="28" w:type="dxa"/>
        </w:tblCellMar>
      </w:tblPr>
      <w:tblGrid>
        <w:gridCol w:w="608"/>
        <w:gridCol w:w="1555"/>
        <w:gridCol w:w="1809"/>
        <w:gridCol w:w="2302"/>
        <w:gridCol w:w="1488"/>
        <w:gridCol w:w="2210"/>
      </w:tblGrid>
      <w:tr>
        <w:trPr>
          <w:tblHeader w:val="true"/>
        </w:trPr>
        <w:tc>
          <w:tcPr>
            <w:tcW w:w="608" w:type="dxa"/>
            <w:tcBorders/>
            <w:vAlign w:val="center"/>
          </w:tcPr>
          <w:p>
            <w:pPr>
              <w:pStyle w:val="TableHeading"/>
              <w:suppressLineNumbers/>
              <w:bidi w:val="0"/>
              <w:jc w:val="center"/>
              <w:rPr/>
            </w:pPr>
            <w:r>
              <w:rPr/>
              <w:t>Item</w:t>
            </w:r>
          </w:p>
        </w:tc>
        <w:tc>
          <w:tcPr>
            <w:tcW w:w="1555" w:type="dxa"/>
            <w:tcBorders/>
            <w:vAlign w:val="center"/>
          </w:tcPr>
          <w:p>
            <w:pPr>
              <w:pStyle w:val="TableHeading"/>
              <w:suppressLineNumbers/>
              <w:bidi w:val="0"/>
              <w:jc w:val="center"/>
              <w:rPr/>
            </w:pPr>
            <w:r>
              <w:rPr/>
              <w:t>Extraversion</w:t>
            </w:r>
          </w:p>
        </w:tc>
        <w:tc>
          <w:tcPr>
            <w:tcW w:w="1809" w:type="dxa"/>
            <w:tcBorders/>
            <w:vAlign w:val="center"/>
          </w:tcPr>
          <w:p>
            <w:pPr>
              <w:pStyle w:val="TableHeading"/>
              <w:suppressLineNumbers/>
              <w:bidi w:val="0"/>
              <w:jc w:val="center"/>
              <w:rPr/>
            </w:pPr>
            <w:r>
              <w:rPr/>
              <w:t>Agreeableness</w:t>
            </w:r>
          </w:p>
        </w:tc>
        <w:tc>
          <w:tcPr>
            <w:tcW w:w="2302" w:type="dxa"/>
            <w:tcBorders/>
            <w:vAlign w:val="center"/>
          </w:tcPr>
          <w:p>
            <w:pPr>
              <w:pStyle w:val="TableHeading"/>
              <w:suppressLineNumbers/>
              <w:bidi w:val="0"/>
              <w:jc w:val="center"/>
              <w:rPr/>
            </w:pPr>
            <w:r>
              <w:rPr/>
              <w:t>Conscientiousness</w:t>
            </w:r>
          </w:p>
        </w:tc>
        <w:tc>
          <w:tcPr>
            <w:tcW w:w="1488" w:type="dxa"/>
            <w:tcBorders/>
            <w:vAlign w:val="center"/>
          </w:tcPr>
          <w:p>
            <w:pPr>
              <w:pStyle w:val="TableHeading"/>
              <w:suppressLineNumbers/>
              <w:bidi w:val="0"/>
              <w:jc w:val="center"/>
              <w:rPr/>
            </w:pPr>
            <w:r>
              <w:rPr/>
              <w:t>Neuroticism</w:t>
            </w:r>
          </w:p>
        </w:tc>
        <w:tc>
          <w:tcPr>
            <w:tcW w:w="2210" w:type="dxa"/>
            <w:tcBorders/>
            <w:vAlign w:val="center"/>
          </w:tcPr>
          <w:p>
            <w:pPr>
              <w:pStyle w:val="TableHeading"/>
              <w:suppressLineNumbers/>
              <w:bidi w:val="0"/>
              <w:jc w:val="center"/>
              <w:rPr/>
            </w:pPr>
            <w:r>
              <w:rPr/>
              <w:t>Openness to Experience</w:t>
            </w:r>
          </w:p>
        </w:tc>
      </w:tr>
      <w:tr>
        <w:trPr/>
        <w:tc>
          <w:tcPr>
            <w:tcW w:w="608" w:type="dxa"/>
            <w:tcBorders/>
            <w:vAlign w:val="center"/>
          </w:tcPr>
          <w:p>
            <w:pPr>
              <w:pStyle w:val="TableContents"/>
              <w:widowControl w:val="false"/>
              <w:suppressLineNumbers/>
              <w:bidi w:val="0"/>
              <w:jc w:val="left"/>
              <w:rPr/>
            </w:pPr>
            <w:r>
              <w:rPr/>
              <w:t>1</w:t>
            </w:r>
          </w:p>
        </w:tc>
        <w:tc>
          <w:tcPr>
            <w:tcW w:w="1555" w:type="dxa"/>
            <w:tcBorders/>
            <w:vAlign w:val="center"/>
          </w:tcPr>
          <w:p>
            <w:pPr>
              <w:pStyle w:val="TableContents"/>
              <w:widowControl w:val="false"/>
              <w:suppressLineNumbers/>
              <w:bidi w:val="0"/>
              <w:jc w:val="left"/>
              <w:rPr/>
            </w:pPr>
            <w:r>
              <w:rPr/>
              <w:t>-1</w:t>
            </w:r>
          </w:p>
        </w:tc>
        <w:tc>
          <w:tcPr>
            <w:tcW w:w="1809" w:type="dxa"/>
            <w:tcBorders/>
            <w:vAlign w:val="center"/>
          </w:tcPr>
          <w:p>
            <w:pPr>
              <w:pStyle w:val="TableContents"/>
              <w:widowControl w:val="false"/>
              <w:suppressLineNumbers/>
              <w:bidi w:val="0"/>
              <w:jc w:val="left"/>
              <w:rPr/>
            </w:pPr>
            <w:r>
              <w:rPr/>
              <w:t>0</w:t>
            </w:r>
          </w:p>
        </w:tc>
        <w:tc>
          <w:tcPr>
            <w:tcW w:w="2302" w:type="dxa"/>
            <w:tcBorders/>
            <w:vAlign w:val="center"/>
          </w:tcPr>
          <w:p>
            <w:pPr>
              <w:pStyle w:val="TableContents"/>
              <w:widowControl w:val="false"/>
              <w:suppressLineNumbers/>
              <w:bidi w:val="0"/>
              <w:jc w:val="left"/>
              <w:rPr/>
            </w:pPr>
            <w:r>
              <w:rPr/>
              <w:t>0</w:t>
            </w:r>
          </w:p>
        </w:tc>
        <w:tc>
          <w:tcPr>
            <w:tcW w:w="1488" w:type="dxa"/>
            <w:tcBorders/>
            <w:vAlign w:val="center"/>
          </w:tcPr>
          <w:p>
            <w:pPr>
              <w:pStyle w:val="TableContents"/>
              <w:widowControl w:val="false"/>
              <w:suppressLineNumbers/>
              <w:bidi w:val="0"/>
              <w:jc w:val="left"/>
              <w:rPr/>
            </w:pPr>
            <w:r>
              <w:rPr/>
              <w:t>0</w:t>
            </w:r>
          </w:p>
        </w:tc>
        <w:tc>
          <w:tcPr>
            <w:tcW w:w="2210" w:type="dxa"/>
            <w:tcBorders/>
            <w:vAlign w:val="center"/>
          </w:tcPr>
          <w:p>
            <w:pPr>
              <w:pStyle w:val="TableContents"/>
              <w:widowControl w:val="false"/>
              <w:suppressLineNumbers/>
              <w:bidi w:val="0"/>
              <w:jc w:val="left"/>
              <w:rPr/>
            </w:pPr>
            <w:r>
              <w:rPr/>
              <w:t>0</w:t>
            </w:r>
          </w:p>
        </w:tc>
      </w:tr>
      <w:tr>
        <w:trPr/>
        <w:tc>
          <w:tcPr>
            <w:tcW w:w="608" w:type="dxa"/>
            <w:tcBorders/>
            <w:vAlign w:val="center"/>
          </w:tcPr>
          <w:p>
            <w:pPr>
              <w:pStyle w:val="TableContents"/>
              <w:widowControl w:val="false"/>
              <w:suppressLineNumbers/>
              <w:bidi w:val="0"/>
              <w:jc w:val="left"/>
              <w:rPr/>
            </w:pPr>
            <w:r>
              <w:rPr/>
              <w:t>2</w:t>
            </w:r>
          </w:p>
        </w:tc>
        <w:tc>
          <w:tcPr>
            <w:tcW w:w="1555" w:type="dxa"/>
            <w:tcBorders/>
            <w:vAlign w:val="center"/>
          </w:tcPr>
          <w:p>
            <w:pPr>
              <w:pStyle w:val="TableContents"/>
              <w:widowControl w:val="false"/>
              <w:suppressLineNumbers/>
              <w:bidi w:val="0"/>
              <w:jc w:val="left"/>
              <w:rPr/>
            </w:pPr>
            <w:r>
              <w:rPr/>
              <w:t>0</w:t>
            </w:r>
          </w:p>
        </w:tc>
        <w:tc>
          <w:tcPr>
            <w:tcW w:w="1809" w:type="dxa"/>
            <w:tcBorders/>
            <w:vAlign w:val="center"/>
          </w:tcPr>
          <w:p>
            <w:pPr>
              <w:pStyle w:val="TableContents"/>
              <w:widowControl w:val="false"/>
              <w:suppressLineNumbers/>
              <w:bidi w:val="0"/>
              <w:jc w:val="left"/>
              <w:rPr/>
            </w:pPr>
            <w:r>
              <w:rPr/>
              <w:t>-1</w:t>
            </w:r>
          </w:p>
        </w:tc>
        <w:tc>
          <w:tcPr>
            <w:tcW w:w="2302" w:type="dxa"/>
            <w:tcBorders/>
            <w:vAlign w:val="center"/>
          </w:tcPr>
          <w:p>
            <w:pPr>
              <w:pStyle w:val="TableContents"/>
              <w:widowControl w:val="false"/>
              <w:suppressLineNumbers/>
              <w:bidi w:val="0"/>
              <w:jc w:val="left"/>
              <w:rPr/>
            </w:pPr>
            <w:r>
              <w:rPr/>
              <w:t>0</w:t>
            </w:r>
          </w:p>
        </w:tc>
        <w:tc>
          <w:tcPr>
            <w:tcW w:w="1488" w:type="dxa"/>
            <w:tcBorders/>
            <w:vAlign w:val="center"/>
          </w:tcPr>
          <w:p>
            <w:pPr>
              <w:pStyle w:val="TableContents"/>
              <w:widowControl w:val="false"/>
              <w:suppressLineNumbers/>
              <w:bidi w:val="0"/>
              <w:jc w:val="left"/>
              <w:rPr/>
            </w:pPr>
            <w:r>
              <w:rPr/>
              <w:t>0</w:t>
            </w:r>
          </w:p>
        </w:tc>
        <w:tc>
          <w:tcPr>
            <w:tcW w:w="2210" w:type="dxa"/>
            <w:tcBorders/>
            <w:vAlign w:val="center"/>
          </w:tcPr>
          <w:p>
            <w:pPr>
              <w:pStyle w:val="TableContents"/>
              <w:widowControl w:val="false"/>
              <w:suppressLineNumbers/>
              <w:bidi w:val="0"/>
              <w:jc w:val="left"/>
              <w:rPr/>
            </w:pPr>
            <w:r>
              <w:rPr/>
              <w:t>0</w:t>
            </w:r>
          </w:p>
        </w:tc>
      </w:tr>
      <w:tr>
        <w:trPr/>
        <w:tc>
          <w:tcPr>
            <w:tcW w:w="608" w:type="dxa"/>
            <w:tcBorders/>
            <w:vAlign w:val="center"/>
          </w:tcPr>
          <w:p>
            <w:pPr>
              <w:pStyle w:val="TableContents"/>
              <w:widowControl w:val="false"/>
              <w:suppressLineNumbers/>
              <w:bidi w:val="0"/>
              <w:jc w:val="left"/>
              <w:rPr/>
            </w:pPr>
            <w:r>
              <w:rPr/>
              <w:t>3</w:t>
            </w:r>
          </w:p>
        </w:tc>
        <w:tc>
          <w:tcPr>
            <w:tcW w:w="1555" w:type="dxa"/>
            <w:tcBorders/>
            <w:vAlign w:val="center"/>
          </w:tcPr>
          <w:p>
            <w:pPr>
              <w:pStyle w:val="TableContents"/>
              <w:widowControl w:val="false"/>
              <w:suppressLineNumbers/>
              <w:bidi w:val="0"/>
              <w:jc w:val="left"/>
              <w:rPr/>
            </w:pPr>
            <w:r>
              <w:rPr/>
              <w:t>0</w:t>
            </w:r>
          </w:p>
        </w:tc>
        <w:tc>
          <w:tcPr>
            <w:tcW w:w="1809" w:type="dxa"/>
            <w:tcBorders/>
            <w:vAlign w:val="center"/>
          </w:tcPr>
          <w:p>
            <w:pPr>
              <w:pStyle w:val="TableContents"/>
              <w:widowControl w:val="false"/>
              <w:suppressLineNumbers/>
              <w:bidi w:val="0"/>
              <w:jc w:val="left"/>
              <w:rPr/>
            </w:pPr>
            <w:r>
              <w:rPr/>
              <w:t>0</w:t>
            </w:r>
          </w:p>
        </w:tc>
        <w:tc>
          <w:tcPr>
            <w:tcW w:w="2302" w:type="dxa"/>
            <w:tcBorders/>
            <w:vAlign w:val="center"/>
          </w:tcPr>
          <w:p>
            <w:pPr>
              <w:pStyle w:val="TableContents"/>
              <w:widowControl w:val="false"/>
              <w:suppressLineNumbers/>
              <w:bidi w:val="0"/>
              <w:jc w:val="left"/>
              <w:rPr/>
            </w:pPr>
            <w:r>
              <w:rPr/>
              <w:t>-1</w:t>
            </w:r>
          </w:p>
        </w:tc>
        <w:tc>
          <w:tcPr>
            <w:tcW w:w="1488" w:type="dxa"/>
            <w:tcBorders/>
            <w:vAlign w:val="center"/>
          </w:tcPr>
          <w:p>
            <w:pPr>
              <w:pStyle w:val="TableContents"/>
              <w:widowControl w:val="false"/>
              <w:suppressLineNumbers/>
              <w:bidi w:val="0"/>
              <w:jc w:val="left"/>
              <w:rPr/>
            </w:pPr>
            <w:r>
              <w:rPr/>
              <w:t>0</w:t>
            </w:r>
          </w:p>
        </w:tc>
        <w:tc>
          <w:tcPr>
            <w:tcW w:w="2210" w:type="dxa"/>
            <w:tcBorders/>
            <w:vAlign w:val="center"/>
          </w:tcPr>
          <w:p>
            <w:pPr>
              <w:pStyle w:val="TableContents"/>
              <w:widowControl w:val="false"/>
              <w:suppressLineNumbers/>
              <w:bidi w:val="0"/>
              <w:jc w:val="left"/>
              <w:rPr/>
            </w:pPr>
            <w:r>
              <w:rPr/>
              <w:t>0</w:t>
            </w:r>
          </w:p>
        </w:tc>
      </w:tr>
      <w:tr>
        <w:trPr/>
        <w:tc>
          <w:tcPr>
            <w:tcW w:w="608" w:type="dxa"/>
            <w:tcBorders/>
            <w:vAlign w:val="center"/>
          </w:tcPr>
          <w:p>
            <w:pPr>
              <w:pStyle w:val="TableContents"/>
              <w:widowControl w:val="false"/>
              <w:suppressLineNumbers/>
              <w:bidi w:val="0"/>
              <w:jc w:val="left"/>
              <w:rPr/>
            </w:pPr>
            <w:r>
              <w:rPr/>
              <w:t>4</w:t>
            </w:r>
          </w:p>
        </w:tc>
        <w:tc>
          <w:tcPr>
            <w:tcW w:w="1555" w:type="dxa"/>
            <w:tcBorders/>
            <w:vAlign w:val="center"/>
          </w:tcPr>
          <w:p>
            <w:pPr>
              <w:pStyle w:val="TableContents"/>
              <w:widowControl w:val="false"/>
              <w:suppressLineNumbers/>
              <w:bidi w:val="0"/>
              <w:jc w:val="left"/>
              <w:rPr/>
            </w:pPr>
            <w:r>
              <w:rPr/>
              <w:t>0</w:t>
            </w:r>
          </w:p>
        </w:tc>
        <w:tc>
          <w:tcPr>
            <w:tcW w:w="1809" w:type="dxa"/>
            <w:tcBorders/>
            <w:vAlign w:val="center"/>
          </w:tcPr>
          <w:p>
            <w:pPr>
              <w:pStyle w:val="TableContents"/>
              <w:widowControl w:val="false"/>
              <w:suppressLineNumbers/>
              <w:bidi w:val="0"/>
              <w:jc w:val="left"/>
              <w:rPr/>
            </w:pPr>
            <w:r>
              <w:rPr/>
              <w:t>0</w:t>
            </w:r>
          </w:p>
        </w:tc>
        <w:tc>
          <w:tcPr>
            <w:tcW w:w="2302" w:type="dxa"/>
            <w:tcBorders/>
            <w:vAlign w:val="center"/>
          </w:tcPr>
          <w:p>
            <w:pPr>
              <w:pStyle w:val="TableContents"/>
              <w:widowControl w:val="false"/>
              <w:suppressLineNumbers/>
              <w:bidi w:val="0"/>
              <w:jc w:val="left"/>
              <w:rPr/>
            </w:pPr>
            <w:r>
              <w:rPr/>
              <w:t>0</w:t>
            </w:r>
          </w:p>
        </w:tc>
        <w:tc>
          <w:tcPr>
            <w:tcW w:w="1488" w:type="dxa"/>
            <w:tcBorders/>
            <w:vAlign w:val="center"/>
          </w:tcPr>
          <w:p>
            <w:pPr>
              <w:pStyle w:val="TableContents"/>
              <w:widowControl w:val="false"/>
              <w:suppressLineNumbers/>
              <w:bidi w:val="0"/>
              <w:jc w:val="left"/>
              <w:rPr/>
            </w:pPr>
            <w:r>
              <w:rPr/>
              <w:t>-1</w:t>
            </w:r>
          </w:p>
        </w:tc>
        <w:tc>
          <w:tcPr>
            <w:tcW w:w="2210" w:type="dxa"/>
            <w:tcBorders/>
            <w:vAlign w:val="center"/>
          </w:tcPr>
          <w:p>
            <w:pPr>
              <w:pStyle w:val="TableContents"/>
              <w:widowControl w:val="false"/>
              <w:suppressLineNumbers/>
              <w:bidi w:val="0"/>
              <w:jc w:val="left"/>
              <w:rPr/>
            </w:pPr>
            <w:r>
              <w:rPr/>
              <w:t>0</w:t>
            </w:r>
          </w:p>
        </w:tc>
      </w:tr>
      <w:tr>
        <w:trPr/>
        <w:tc>
          <w:tcPr>
            <w:tcW w:w="608" w:type="dxa"/>
            <w:tcBorders/>
            <w:vAlign w:val="center"/>
          </w:tcPr>
          <w:p>
            <w:pPr>
              <w:pStyle w:val="TableContents"/>
              <w:widowControl w:val="false"/>
              <w:suppressLineNumbers/>
              <w:bidi w:val="0"/>
              <w:jc w:val="left"/>
              <w:rPr/>
            </w:pPr>
            <w:r>
              <w:rPr/>
              <w:t>5</w:t>
            </w:r>
          </w:p>
        </w:tc>
        <w:tc>
          <w:tcPr>
            <w:tcW w:w="1555" w:type="dxa"/>
            <w:tcBorders/>
            <w:vAlign w:val="center"/>
          </w:tcPr>
          <w:p>
            <w:pPr>
              <w:pStyle w:val="TableContents"/>
              <w:widowControl w:val="false"/>
              <w:suppressLineNumbers/>
              <w:bidi w:val="0"/>
              <w:jc w:val="left"/>
              <w:rPr/>
            </w:pPr>
            <w:r>
              <w:rPr/>
              <w:t>-1</w:t>
            </w:r>
          </w:p>
        </w:tc>
        <w:tc>
          <w:tcPr>
            <w:tcW w:w="1809" w:type="dxa"/>
            <w:tcBorders/>
            <w:vAlign w:val="center"/>
          </w:tcPr>
          <w:p>
            <w:pPr>
              <w:pStyle w:val="TableContents"/>
              <w:widowControl w:val="false"/>
              <w:suppressLineNumbers/>
              <w:bidi w:val="0"/>
              <w:jc w:val="left"/>
              <w:rPr/>
            </w:pPr>
            <w:r>
              <w:rPr/>
              <w:t>0</w:t>
            </w:r>
          </w:p>
        </w:tc>
        <w:tc>
          <w:tcPr>
            <w:tcW w:w="2302" w:type="dxa"/>
            <w:tcBorders/>
            <w:vAlign w:val="center"/>
          </w:tcPr>
          <w:p>
            <w:pPr>
              <w:pStyle w:val="TableContents"/>
              <w:widowControl w:val="false"/>
              <w:suppressLineNumbers/>
              <w:bidi w:val="0"/>
              <w:jc w:val="left"/>
              <w:rPr/>
            </w:pPr>
            <w:r>
              <w:rPr/>
              <w:t>0</w:t>
            </w:r>
          </w:p>
        </w:tc>
        <w:tc>
          <w:tcPr>
            <w:tcW w:w="1488" w:type="dxa"/>
            <w:tcBorders/>
            <w:vAlign w:val="center"/>
          </w:tcPr>
          <w:p>
            <w:pPr>
              <w:pStyle w:val="TableContents"/>
              <w:widowControl w:val="false"/>
              <w:suppressLineNumbers/>
              <w:bidi w:val="0"/>
              <w:jc w:val="left"/>
              <w:rPr/>
            </w:pPr>
            <w:r>
              <w:rPr/>
              <w:t>0</w:t>
            </w:r>
          </w:p>
        </w:tc>
        <w:tc>
          <w:tcPr>
            <w:tcW w:w="2210" w:type="dxa"/>
            <w:tcBorders/>
            <w:vAlign w:val="center"/>
          </w:tcPr>
          <w:p>
            <w:pPr>
              <w:pStyle w:val="TableContents"/>
              <w:widowControl w:val="false"/>
              <w:suppressLineNumbers/>
              <w:bidi w:val="0"/>
              <w:jc w:val="left"/>
              <w:rPr/>
            </w:pPr>
            <w:r>
              <w:rPr/>
              <w:t>-1</w:t>
            </w:r>
          </w:p>
        </w:tc>
      </w:tr>
      <w:tr>
        <w:trPr/>
        <w:tc>
          <w:tcPr>
            <w:tcW w:w="608" w:type="dxa"/>
            <w:tcBorders/>
            <w:vAlign w:val="center"/>
          </w:tcPr>
          <w:p>
            <w:pPr>
              <w:pStyle w:val="TableContents"/>
              <w:widowControl w:val="false"/>
              <w:suppressLineNumbers/>
              <w:bidi w:val="0"/>
              <w:jc w:val="left"/>
              <w:rPr/>
            </w:pPr>
            <w:r>
              <w:rPr/>
              <w:t>6</w:t>
            </w:r>
          </w:p>
        </w:tc>
        <w:tc>
          <w:tcPr>
            <w:tcW w:w="1555" w:type="dxa"/>
            <w:tcBorders/>
            <w:vAlign w:val="center"/>
          </w:tcPr>
          <w:p>
            <w:pPr>
              <w:pStyle w:val="TableContents"/>
              <w:widowControl w:val="false"/>
              <w:suppressLineNumbers/>
              <w:bidi w:val="0"/>
              <w:jc w:val="left"/>
              <w:rPr/>
            </w:pPr>
            <w:r>
              <w:rPr/>
              <w:t>1</w:t>
            </w:r>
          </w:p>
        </w:tc>
        <w:tc>
          <w:tcPr>
            <w:tcW w:w="1809" w:type="dxa"/>
            <w:tcBorders/>
            <w:vAlign w:val="center"/>
          </w:tcPr>
          <w:p>
            <w:pPr>
              <w:pStyle w:val="TableContents"/>
              <w:widowControl w:val="false"/>
              <w:suppressLineNumbers/>
              <w:bidi w:val="0"/>
              <w:jc w:val="left"/>
              <w:rPr/>
            </w:pPr>
            <w:r>
              <w:rPr/>
              <w:t>0</w:t>
            </w:r>
          </w:p>
        </w:tc>
        <w:tc>
          <w:tcPr>
            <w:tcW w:w="2302" w:type="dxa"/>
            <w:tcBorders/>
            <w:vAlign w:val="center"/>
          </w:tcPr>
          <w:p>
            <w:pPr>
              <w:pStyle w:val="TableContents"/>
              <w:widowControl w:val="false"/>
              <w:suppressLineNumbers/>
              <w:bidi w:val="0"/>
              <w:jc w:val="left"/>
              <w:rPr/>
            </w:pPr>
            <w:r>
              <w:rPr/>
              <w:t>0</w:t>
            </w:r>
          </w:p>
        </w:tc>
        <w:tc>
          <w:tcPr>
            <w:tcW w:w="1488" w:type="dxa"/>
            <w:tcBorders/>
            <w:vAlign w:val="center"/>
          </w:tcPr>
          <w:p>
            <w:pPr>
              <w:pStyle w:val="TableContents"/>
              <w:widowControl w:val="false"/>
              <w:suppressLineNumbers/>
              <w:bidi w:val="0"/>
              <w:jc w:val="left"/>
              <w:rPr/>
            </w:pPr>
            <w:r>
              <w:rPr/>
              <w:t>0</w:t>
            </w:r>
          </w:p>
        </w:tc>
        <w:tc>
          <w:tcPr>
            <w:tcW w:w="2210" w:type="dxa"/>
            <w:tcBorders/>
            <w:vAlign w:val="center"/>
          </w:tcPr>
          <w:p>
            <w:pPr>
              <w:pStyle w:val="TableContents"/>
              <w:widowControl w:val="false"/>
              <w:suppressLineNumbers/>
              <w:bidi w:val="0"/>
              <w:jc w:val="left"/>
              <w:rPr/>
            </w:pPr>
            <w:r>
              <w:rPr/>
              <w:t>0</w:t>
            </w:r>
          </w:p>
        </w:tc>
      </w:tr>
      <w:tr>
        <w:trPr/>
        <w:tc>
          <w:tcPr>
            <w:tcW w:w="608" w:type="dxa"/>
            <w:tcBorders/>
            <w:vAlign w:val="center"/>
          </w:tcPr>
          <w:p>
            <w:pPr>
              <w:pStyle w:val="TableContents"/>
              <w:widowControl w:val="false"/>
              <w:suppressLineNumbers/>
              <w:bidi w:val="0"/>
              <w:jc w:val="left"/>
              <w:rPr/>
            </w:pPr>
            <w:r>
              <w:rPr/>
              <w:t>7</w:t>
            </w:r>
          </w:p>
        </w:tc>
        <w:tc>
          <w:tcPr>
            <w:tcW w:w="1555" w:type="dxa"/>
            <w:tcBorders/>
            <w:vAlign w:val="center"/>
          </w:tcPr>
          <w:p>
            <w:pPr>
              <w:pStyle w:val="TableContents"/>
              <w:widowControl w:val="false"/>
              <w:suppressLineNumbers/>
              <w:bidi w:val="0"/>
              <w:jc w:val="left"/>
              <w:rPr/>
            </w:pPr>
            <w:r>
              <w:rPr/>
              <w:t>0</w:t>
            </w:r>
          </w:p>
        </w:tc>
        <w:tc>
          <w:tcPr>
            <w:tcW w:w="1809" w:type="dxa"/>
            <w:tcBorders/>
            <w:vAlign w:val="center"/>
          </w:tcPr>
          <w:p>
            <w:pPr>
              <w:pStyle w:val="TableContents"/>
              <w:widowControl w:val="false"/>
              <w:suppressLineNumbers/>
              <w:bidi w:val="0"/>
              <w:jc w:val="left"/>
              <w:rPr/>
            </w:pPr>
            <w:r>
              <w:rPr/>
              <w:t>-1</w:t>
            </w:r>
          </w:p>
        </w:tc>
        <w:tc>
          <w:tcPr>
            <w:tcW w:w="2302" w:type="dxa"/>
            <w:tcBorders/>
            <w:vAlign w:val="center"/>
          </w:tcPr>
          <w:p>
            <w:pPr>
              <w:pStyle w:val="TableContents"/>
              <w:widowControl w:val="false"/>
              <w:suppressLineNumbers/>
              <w:bidi w:val="0"/>
              <w:jc w:val="left"/>
              <w:rPr/>
            </w:pPr>
            <w:r>
              <w:rPr/>
              <w:t>0</w:t>
            </w:r>
          </w:p>
        </w:tc>
        <w:tc>
          <w:tcPr>
            <w:tcW w:w="1488" w:type="dxa"/>
            <w:tcBorders/>
            <w:vAlign w:val="center"/>
          </w:tcPr>
          <w:p>
            <w:pPr>
              <w:pStyle w:val="TableContents"/>
              <w:widowControl w:val="false"/>
              <w:suppressLineNumbers/>
              <w:bidi w:val="0"/>
              <w:jc w:val="left"/>
              <w:rPr/>
            </w:pPr>
            <w:r>
              <w:rPr/>
              <w:t>0</w:t>
            </w:r>
          </w:p>
        </w:tc>
        <w:tc>
          <w:tcPr>
            <w:tcW w:w="2210" w:type="dxa"/>
            <w:tcBorders/>
            <w:vAlign w:val="center"/>
          </w:tcPr>
          <w:p>
            <w:pPr>
              <w:pStyle w:val="TableContents"/>
              <w:widowControl w:val="false"/>
              <w:suppressLineNumbers/>
              <w:bidi w:val="0"/>
              <w:jc w:val="left"/>
              <w:rPr/>
            </w:pPr>
            <w:r>
              <w:rPr/>
              <w:t>0</w:t>
            </w:r>
          </w:p>
        </w:tc>
      </w:tr>
      <w:tr>
        <w:trPr/>
        <w:tc>
          <w:tcPr>
            <w:tcW w:w="608" w:type="dxa"/>
            <w:tcBorders/>
            <w:vAlign w:val="center"/>
          </w:tcPr>
          <w:p>
            <w:pPr>
              <w:pStyle w:val="TableContents"/>
              <w:widowControl w:val="false"/>
              <w:suppressLineNumbers/>
              <w:bidi w:val="0"/>
              <w:jc w:val="left"/>
              <w:rPr/>
            </w:pPr>
            <w:r>
              <w:rPr/>
              <w:t>8</w:t>
            </w:r>
          </w:p>
        </w:tc>
        <w:tc>
          <w:tcPr>
            <w:tcW w:w="1555" w:type="dxa"/>
            <w:tcBorders/>
            <w:vAlign w:val="center"/>
          </w:tcPr>
          <w:p>
            <w:pPr>
              <w:pStyle w:val="TableContents"/>
              <w:widowControl w:val="false"/>
              <w:suppressLineNumbers/>
              <w:bidi w:val="0"/>
              <w:jc w:val="left"/>
              <w:rPr/>
            </w:pPr>
            <w:r>
              <w:rPr/>
              <w:t>0</w:t>
            </w:r>
          </w:p>
        </w:tc>
        <w:tc>
          <w:tcPr>
            <w:tcW w:w="1809" w:type="dxa"/>
            <w:tcBorders/>
            <w:vAlign w:val="center"/>
          </w:tcPr>
          <w:p>
            <w:pPr>
              <w:pStyle w:val="TableContents"/>
              <w:widowControl w:val="false"/>
              <w:suppressLineNumbers/>
              <w:bidi w:val="0"/>
              <w:jc w:val="left"/>
              <w:rPr/>
            </w:pPr>
            <w:r>
              <w:rPr/>
              <w:t>0</w:t>
            </w:r>
          </w:p>
        </w:tc>
        <w:tc>
          <w:tcPr>
            <w:tcW w:w="2302" w:type="dxa"/>
            <w:tcBorders/>
            <w:vAlign w:val="center"/>
          </w:tcPr>
          <w:p>
            <w:pPr>
              <w:pStyle w:val="TableContents"/>
              <w:widowControl w:val="false"/>
              <w:suppressLineNumbers/>
              <w:bidi w:val="0"/>
              <w:jc w:val="left"/>
              <w:rPr/>
            </w:pPr>
            <w:r>
              <w:rPr/>
              <w:t>-1</w:t>
            </w:r>
          </w:p>
        </w:tc>
        <w:tc>
          <w:tcPr>
            <w:tcW w:w="1488" w:type="dxa"/>
            <w:tcBorders/>
            <w:vAlign w:val="center"/>
          </w:tcPr>
          <w:p>
            <w:pPr>
              <w:pStyle w:val="TableContents"/>
              <w:widowControl w:val="false"/>
              <w:suppressLineNumbers/>
              <w:bidi w:val="0"/>
              <w:jc w:val="left"/>
              <w:rPr/>
            </w:pPr>
            <w:r>
              <w:rPr/>
              <w:t>0</w:t>
            </w:r>
          </w:p>
        </w:tc>
        <w:tc>
          <w:tcPr>
            <w:tcW w:w="2210" w:type="dxa"/>
            <w:tcBorders/>
            <w:vAlign w:val="center"/>
          </w:tcPr>
          <w:p>
            <w:pPr>
              <w:pStyle w:val="TableContents"/>
              <w:widowControl w:val="false"/>
              <w:suppressLineNumbers/>
              <w:bidi w:val="0"/>
              <w:jc w:val="left"/>
              <w:rPr/>
            </w:pPr>
            <w:r>
              <w:rPr/>
              <w:t>0</w:t>
            </w:r>
          </w:p>
        </w:tc>
      </w:tr>
      <w:tr>
        <w:trPr/>
        <w:tc>
          <w:tcPr>
            <w:tcW w:w="608" w:type="dxa"/>
            <w:tcBorders/>
            <w:vAlign w:val="center"/>
          </w:tcPr>
          <w:p>
            <w:pPr>
              <w:pStyle w:val="TableContents"/>
              <w:widowControl w:val="false"/>
              <w:suppressLineNumbers/>
              <w:bidi w:val="0"/>
              <w:jc w:val="left"/>
              <w:rPr/>
            </w:pPr>
            <w:r>
              <w:rPr/>
              <w:t>9</w:t>
            </w:r>
          </w:p>
        </w:tc>
        <w:tc>
          <w:tcPr>
            <w:tcW w:w="1555" w:type="dxa"/>
            <w:tcBorders/>
            <w:vAlign w:val="center"/>
          </w:tcPr>
          <w:p>
            <w:pPr>
              <w:pStyle w:val="TableContents"/>
              <w:widowControl w:val="false"/>
              <w:suppressLineNumbers/>
              <w:bidi w:val="0"/>
              <w:jc w:val="left"/>
              <w:rPr/>
            </w:pPr>
            <w:r>
              <w:rPr/>
              <w:t>0</w:t>
            </w:r>
          </w:p>
        </w:tc>
        <w:tc>
          <w:tcPr>
            <w:tcW w:w="1809" w:type="dxa"/>
            <w:tcBorders/>
            <w:vAlign w:val="center"/>
          </w:tcPr>
          <w:p>
            <w:pPr>
              <w:pStyle w:val="TableContents"/>
              <w:widowControl w:val="false"/>
              <w:suppressLineNumbers/>
              <w:bidi w:val="0"/>
              <w:jc w:val="left"/>
              <w:rPr/>
            </w:pPr>
            <w:r>
              <w:rPr/>
              <w:t>0</w:t>
            </w:r>
          </w:p>
        </w:tc>
        <w:tc>
          <w:tcPr>
            <w:tcW w:w="2302" w:type="dxa"/>
            <w:tcBorders/>
            <w:vAlign w:val="center"/>
          </w:tcPr>
          <w:p>
            <w:pPr>
              <w:pStyle w:val="TableContents"/>
              <w:widowControl w:val="false"/>
              <w:suppressLineNumbers/>
              <w:bidi w:val="0"/>
              <w:jc w:val="left"/>
              <w:rPr/>
            </w:pPr>
            <w:r>
              <w:rPr/>
              <w:t>0</w:t>
            </w:r>
          </w:p>
        </w:tc>
        <w:tc>
          <w:tcPr>
            <w:tcW w:w="1488" w:type="dxa"/>
            <w:tcBorders/>
            <w:vAlign w:val="center"/>
          </w:tcPr>
          <w:p>
            <w:pPr>
              <w:pStyle w:val="TableContents"/>
              <w:widowControl w:val="false"/>
              <w:suppressLineNumbers/>
              <w:bidi w:val="0"/>
              <w:jc w:val="left"/>
              <w:rPr/>
            </w:pPr>
            <w:r>
              <w:rPr/>
              <w:t>-1</w:t>
            </w:r>
          </w:p>
        </w:tc>
        <w:tc>
          <w:tcPr>
            <w:tcW w:w="2210" w:type="dxa"/>
            <w:tcBorders/>
            <w:vAlign w:val="center"/>
          </w:tcPr>
          <w:p>
            <w:pPr>
              <w:pStyle w:val="TableContents"/>
              <w:widowControl w:val="false"/>
              <w:suppressLineNumbers/>
              <w:bidi w:val="0"/>
              <w:jc w:val="left"/>
              <w:rPr/>
            </w:pPr>
            <w:r>
              <w:rPr/>
              <w:t>0</w:t>
            </w:r>
          </w:p>
        </w:tc>
      </w:tr>
      <w:tr>
        <w:trPr/>
        <w:tc>
          <w:tcPr>
            <w:tcW w:w="608" w:type="dxa"/>
            <w:tcBorders/>
            <w:vAlign w:val="center"/>
          </w:tcPr>
          <w:p>
            <w:pPr>
              <w:pStyle w:val="TableContents"/>
              <w:widowControl w:val="false"/>
              <w:suppressLineNumbers/>
              <w:bidi w:val="0"/>
              <w:jc w:val="left"/>
              <w:rPr/>
            </w:pPr>
            <w:r>
              <w:rPr/>
              <w:t>10</w:t>
            </w:r>
          </w:p>
        </w:tc>
        <w:tc>
          <w:tcPr>
            <w:tcW w:w="1555" w:type="dxa"/>
            <w:tcBorders/>
            <w:vAlign w:val="center"/>
          </w:tcPr>
          <w:p>
            <w:pPr>
              <w:pStyle w:val="TableContents"/>
              <w:widowControl w:val="false"/>
              <w:suppressLineNumbers/>
              <w:bidi w:val="0"/>
              <w:jc w:val="left"/>
              <w:rPr/>
            </w:pPr>
            <w:r>
              <w:rPr/>
              <w:t>0</w:t>
            </w:r>
          </w:p>
        </w:tc>
        <w:tc>
          <w:tcPr>
            <w:tcW w:w="1809" w:type="dxa"/>
            <w:tcBorders/>
            <w:vAlign w:val="center"/>
          </w:tcPr>
          <w:p>
            <w:pPr>
              <w:pStyle w:val="TableContents"/>
              <w:widowControl w:val="false"/>
              <w:suppressLineNumbers/>
              <w:bidi w:val="0"/>
              <w:jc w:val="left"/>
              <w:rPr/>
            </w:pPr>
            <w:r>
              <w:rPr/>
              <w:t>0</w:t>
            </w:r>
          </w:p>
        </w:tc>
        <w:tc>
          <w:tcPr>
            <w:tcW w:w="2302" w:type="dxa"/>
            <w:tcBorders/>
            <w:vAlign w:val="center"/>
          </w:tcPr>
          <w:p>
            <w:pPr>
              <w:pStyle w:val="TableContents"/>
              <w:widowControl w:val="false"/>
              <w:suppressLineNumbers/>
              <w:bidi w:val="0"/>
              <w:jc w:val="left"/>
              <w:rPr/>
            </w:pPr>
            <w:r>
              <w:rPr/>
              <w:t>0</w:t>
            </w:r>
          </w:p>
        </w:tc>
        <w:tc>
          <w:tcPr>
            <w:tcW w:w="1488" w:type="dxa"/>
            <w:tcBorders/>
            <w:vAlign w:val="center"/>
          </w:tcPr>
          <w:p>
            <w:pPr>
              <w:pStyle w:val="TableContents"/>
              <w:widowControl w:val="false"/>
              <w:suppressLineNumbers/>
              <w:bidi w:val="0"/>
              <w:jc w:val="left"/>
              <w:rPr/>
            </w:pPr>
            <w:r>
              <w:rPr/>
              <w:t>0</w:t>
            </w:r>
          </w:p>
        </w:tc>
        <w:tc>
          <w:tcPr>
            <w:tcW w:w="2210" w:type="dxa"/>
            <w:tcBorders/>
            <w:vAlign w:val="center"/>
          </w:tcPr>
          <w:p>
            <w:pPr>
              <w:pStyle w:val="TableContents"/>
              <w:widowControl w:val="false"/>
              <w:suppressLineNumbers/>
              <w:bidi w:val="0"/>
              <w:jc w:val="left"/>
              <w:rPr/>
            </w:pPr>
            <w:r>
              <w:rPr/>
              <w:t>-1</w:t>
            </w:r>
          </w:p>
        </w:tc>
      </w:tr>
    </w:tbl>
    <w:p>
      <w:pPr>
        <w:pStyle w:val="TextBody"/>
        <w:bidi w:val="0"/>
        <w:spacing w:lineRule="auto" w:line="276" w:before="0" w:after="140"/>
        <w:jc w:val="left"/>
        <w:rPr/>
      </w:pPr>
      <w:r>
        <w:rPr/>
        <w:t>To calculate a respondent's score on each dimension, the scores for the items associated with that dimension are summed. The resulting scores range from -5 to 5, with higher scores indicating higher levels of the respective dimension. For example, a high score on extraversion indicates that the respondent is outgoing and sociable, while a low score on conscientiousness suggests that the respondent tends to be lazy.</w:t>
      </w:r>
    </w:p>
    <w:p>
      <w:pPr>
        <w:pStyle w:val="TextBody"/>
        <w:bidi w:val="0"/>
        <w:spacing w:lineRule="auto" w:line="276" w:before="0" w:after="140"/>
        <w:jc w:val="left"/>
        <w:rPr/>
      </w:pPr>
      <w:r>
        <w:rPr/>
        <w:t>The BFI-10 is a quick and easy way to assess an individual's personality, but it should be noted that it is not as comprehensive as longer measures of personality. Additionally, it is important to interpret scores in the context of other factors, such as situational and cultural influences, and to avoid using personality measures to make stereotypical assumptions about individuals or groups.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GPT ka paper useful things:</w:t>
      </w:r>
    </w:p>
    <w:p>
      <w:pPr>
        <w:pStyle w:val="Normal"/>
        <w:bidi w:val="0"/>
        <w:jc w:val="left"/>
        <w:rPr/>
      </w:pPr>
      <w:r>
        <w:rPr/>
      </w:r>
    </w:p>
    <w:p>
      <w:pPr>
        <w:pStyle w:val="TextBody"/>
        <w:bidi w:val="0"/>
        <w:jc w:val="left"/>
        <w:rPr/>
      </w:pPr>
      <w:r>
        <w:rPr/>
      </w:r>
    </w:p>
    <w:p>
      <w:pPr>
        <w:pStyle w:val="TextBody"/>
        <w:bidi w:val="0"/>
        <w:jc w:val="left"/>
        <w:rPr/>
      </w:pPr>
      <w:r>
        <w:rPr/>
        <w:t>Conclusion:</w:t>
      </w:r>
    </w:p>
    <w:p>
      <w:pPr>
        <w:pStyle w:val="TextBody"/>
        <w:bidi w:val="0"/>
        <w:jc w:val="left"/>
        <w:rPr/>
      </w:pPr>
      <w:r>
        <w:rPr/>
        <w:t>The Five Factor Model provides a comprehensive framework for understanding human personality, and its practical applications are far-reaching. By measuring and understanding the five factors of personality, individuals and organizations can gain insights into how personality shapes behavior and outcomes. Further research on the FFM is needed to fully understand the complex relationships between the five factors and their implications for well-being, success, and other important life outcomes.</w:t>
      </w:r>
    </w:p>
    <w:p>
      <w:pPr>
        <w:pStyle w:val="Normal"/>
        <w:bidi w:val="0"/>
        <w:jc w:val="left"/>
        <w:rPr/>
      </w:pPr>
      <w:r>
        <w:rPr/>
      </w:r>
    </w:p>
    <w:p>
      <w:pPr>
        <w:pStyle w:val="Normal"/>
        <w:bidi w:val="0"/>
        <w:jc w:val="left"/>
        <w:rPr/>
      </w:pPr>
      <w:r>
        <w:rPr/>
        <w:t>SPSS Syntax:</w:t>
      </w:r>
    </w:p>
    <w:p>
      <w:pPr>
        <w:pStyle w:val="Normal"/>
        <w:bidi w:val="0"/>
        <w:jc w:val="left"/>
        <w:rPr/>
      </w:pPr>
      <w:r>
        <w:rPr/>
      </w:r>
    </w:p>
    <w:p>
      <w:pPr>
        <w:pStyle w:val="TextBody"/>
        <w:bidi w:val="0"/>
        <w:jc w:val="left"/>
        <w:rPr/>
      </w:pPr>
      <w:r>
        <w:rPr/>
        <w:t>Sure, here is an example of SPSS syntax that can be used to compute the scores for the Big Five Inventory (BFI-10), a shortened version of the NEO Personality Inventory that measures the five factors:</w:t>
      </w:r>
    </w:p>
    <w:p>
      <w:pPr>
        <w:pStyle w:val="PreformattedText"/>
        <w:bidi w:val="0"/>
        <w:spacing w:before="0" w:after="283"/>
        <w:jc w:val="left"/>
        <w:rPr/>
      </w:pPr>
      <w:r>
        <w:rPr/>
        <w:t>scss</w:t>
      </w:r>
    </w:p>
    <w:p>
      <w:pPr>
        <w:pStyle w:val="PreformattedText"/>
        <w:bidi w:val="0"/>
        <w:jc w:val="left"/>
        <w:rPr/>
      </w:pPr>
      <w:r>
        <w:rPr>
          <w:rStyle w:val="SourceText"/>
        </w:rPr>
        <w:t>*Data should be inputted prior to the syntax being run.</w:t>
      </w:r>
    </w:p>
    <w:p>
      <w:pPr>
        <w:pStyle w:val="PreformattedText"/>
        <w:bidi w:val="0"/>
        <w:jc w:val="left"/>
        <w:rPr/>
      </w:pPr>
      <w:r>
        <w:rPr/>
      </w:r>
    </w:p>
    <w:p>
      <w:pPr>
        <w:pStyle w:val="PreformattedText"/>
        <w:bidi w:val="0"/>
        <w:jc w:val="left"/>
        <w:rPr/>
      </w:pPr>
      <w:r>
        <w:rPr>
          <w:rStyle w:val="SourceText"/>
        </w:rPr>
        <w:t>*Reverse code items as needed.</w:t>
      </w:r>
    </w:p>
    <w:p>
      <w:pPr>
        <w:pStyle w:val="PreformattedText"/>
        <w:bidi w:val="0"/>
        <w:jc w:val="left"/>
        <w:rPr/>
      </w:pPr>
      <w:r>
        <w:rPr>
          <w:rStyle w:val="SourceText"/>
        </w:rPr>
        <w:t>RECODE BFI2 BFI4 BFI6 BFI8 BFI10 (1=5) (2=4) (3=3) (4=2) (5=1) INTO BFI2_R BFI4_R BFI6_R BFI8_R BFI10_R.</w:t>
      </w:r>
    </w:p>
    <w:p>
      <w:pPr>
        <w:pStyle w:val="PreformattedText"/>
        <w:bidi w:val="0"/>
        <w:jc w:val="left"/>
        <w:rPr/>
      </w:pPr>
      <w:r>
        <w:rPr/>
      </w:r>
    </w:p>
    <w:p>
      <w:pPr>
        <w:pStyle w:val="PreformattedText"/>
        <w:bidi w:val="0"/>
        <w:jc w:val="left"/>
        <w:rPr/>
      </w:pPr>
      <w:r>
        <w:rPr>
          <w:rStyle w:val="SourceText"/>
        </w:rPr>
        <w:t>*Compute factor scores.</w:t>
      </w:r>
    </w:p>
    <w:p>
      <w:pPr>
        <w:pStyle w:val="PreformattedText"/>
        <w:bidi w:val="0"/>
        <w:jc w:val="left"/>
        <w:rPr/>
      </w:pPr>
      <w:r>
        <w:rPr>
          <w:rStyle w:val="SourceText"/>
        </w:rPr>
        <w:t>COMPUTE openness = MEAN(BFI1, BFI6_R).</w:t>
      </w:r>
    </w:p>
    <w:p>
      <w:pPr>
        <w:pStyle w:val="PreformattedText"/>
        <w:bidi w:val="0"/>
        <w:jc w:val="left"/>
        <w:rPr/>
      </w:pPr>
      <w:r>
        <w:rPr>
          <w:rStyle w:val="SourceText"/>
        </w:rPr>
        <w:t>COMPUTE conscientiousness = MEAN(BFI2_R, BFI7).</w:t>
      </w:r>
    </w:p>
    <w:p>
      <w:pPr>
        <w:pStyle w:val="PreformattedText"/>
        <w:bidi w:val="0"/>
        <w:jc w:val="left"/>
        <w:rPr/>
      </w:pPr>
      <w:r>
        <w:rPr>
          <w:rStyle w:val="SourceText"/>
        </w:rPr>
        <w:t>COMPUTE extraversion = MEAN(BFI3, BFI8_R).</w:t>
      </w:r>
    </w:p>
    <w:p>
      <w:pPr>
        <w:pStyle w:val="PreformattedText"/>
        <w:bidi w:val="0"/>
        <w:jc w:val="left"/>
        <w:rPr/>
      </w:pPr>
      <w:r>
        <w:rPr>
          <w:rStyle w:val="SourceText"/>
        </w:rPr>
        <w:t>COMPUTE agreeableness = MEAN(BFI4_R, BFI9).</w:t>
      </w:r>
    </w:p>
    <w:p>
      <w:pPr>
        <w:pStyle w:val="PreformattedText"/>
        <w:bidi w:val="0"/>
        <w:jc w:val="left"/>
        <w:rPr/>
      </w:pPr>
      <w:r>
        <w:rPr>
          <w:rStyle w:val="SourceText"/>
        </w:rPr>
        <w:t>COMPUTE neuroticism = MEAN(BFI5, BFI10_R).</w:t>
      </w:r>
    </w:p>
    <w:p>
      <w:pPr>
        <w:pStyle w:val="PreformattedText"/>
        <w:bidi w:val="0"/>
        <w:jc w:val="left"/>
        <w:rPr/>
      </w:pPr>
      <w:r>
        <w:rPr/>
      </w:r>
    </w:p>
    <w:p>
      <w:pPr>
        <w:pStyle w:val="PreformattedText"/>
        <w:bidi w:val="0"/>
        <w:jc w:val="left"/>
        <w:rPr/>
      </w:pPr>
      <w:r>
        <w:rPr>
          <w:rStyle w:val="SourceText"/>
        </w:rPr>
        <w:t>*Label variables.</w:t>
      </w:r>
    </w:p>
    <w:p>
      <w:pPr>
        <w:pStyle w:val="PreformattedText"/>
        <w:bidi w:val="0"/>
        <w:jc w:val="left"/>
        <w:rPr/>
      </w:pPr>
      <w:r>
        <w:rPr>
          <w:rStyle w:val="SourceText"/>
        </w:rPr>
        <w:t>VARIABLE LABELS openness 'Openness to experience'.</w:t>
      </w:r>
    </w:p>
    <w:p>
      <w:pPr>
        <w:pStyle w:val="PreformattedText"/>
        <w:bidi w:val="0"/>
        <w:jc w:val="left"/>
        <w:rPr/>
      </w:pPr>
      <w:r>
        <w:rPr>
          <w:rStyle w:val="SourceText"/>
        </w:rPr>
        <w:t>VARIABLE LABELS conscientiousness 'Conscientiousness'.</w:t>
      </w:r>
    </w:p>
    <w:p>
      <w:pPr>
        <w:pStyle w:val="PreformattedText"/>
        <w:bidi w:val="0"/>
        <w:jc w:val="left"/>
        <w:rPr/>
      </w:pPr>
      <w:r>
        <w:rPr>
          <w:rStyle w:val="SourceText"/>
        </w:rPr>
        <w:t>VARIABLE LABELS extraversion 'Extraversion'.</w:t>
      </w:r>
    </w:p>
    <w:p>
      <w:pPr>
        <w:pStyle w:val="PreformattedText"/>
        <w:bidi w:val="0"/>
        <w:jc w:val="left"/>
        <w:rPr/>
      </w:pPr>
      <w:r>
        <w:rPr>
          <w:rStyle w:val="SourceText"/>
        </w:rPr>
        <w:t>VARIABLE LABELS agreeableness 'Agreeableness'.</w:t>
      </w:r>
    </w:p>
    <w:p>
      <w:pPr>
        <w:pStyle w:val="PreformattedText"/>
        <w:bidi w:val="0"/>
        <w:jc w:val="left"/>
        <w:rPr/>
      </w:pPr>
      <w:r>
        <w:rPr>
          <w:rStyle w:val="SourceText"/>
        </w:rPr>
        <w:t>VARIABLE LABELS neuroticism 'Neuroticism'.</w:t>
      </w:r>
    </w:p>
    <w:p>
      <w:pPr>
        <w:pStyle w:val="PreformattedText"/>
        <w:bidi w:val="0"/>
        <w:jc w:val="left"/>
        <w:rPr/>
      </w:pPr>
      <w:r>
        <w:rPr/>
      </w:r>
    </w:p>
    <w:p>
      <w:pPr>
        <w:pStyle w:val="PreformattedText"/>
        <w:bidi w:val="0"/>
        <w:jc w:val="left"/>
        <w:rPr/>
      </w:pPr>
      <w:r>
        <w:rPr>
          <w:rStyle w:val="SourceText"/>
        </w:rPr>
        <w:t>*Descriptive statistics.</w:t>
      </w:r>
    </w:p>
    <w:p>
      <w:pPr>
        <w:pStyle w:val="PreformattedText"/>
        <w:bidi w:val="0"/>
        <w:jc w:val="left"/>
        <w:rPr/>
      </w:pPr>
      <w:r>
        <w:rPr>
          <w:rStyle w:val="SourceText"/>
        </w:rPr>
        <w:t>DESCRIPTIVES VARIABLES = openness conscientiousness extraversion agreeableness neuroticism</w:t>
      </w:r>
    </w:p>
    <w:p>
      <w:pPr>
        <w:pStyle w:val="PreformattedText"/>
        <w:bidi w:val="0"/>
        <w:jc w:val="left"/>
        <w:rPr/>
      </w:pPr>
      <w:r>
        <w:rPr>
          <w:rStyle w:val="SourceText"/>
        </w:rPr>
        <w:t xml:space="preserve">/STATISTICS = MEAN </w:t>
      </w:r>
    </w:p>
    <w:p>
      <w:pPr>
        <w:pStyle w:val="PreformattedText"/>
        <w:bidi w:val="0"/>
        <w:jc w:val="left"/>
        <w:rPr>
          <w:rStyle w:val="SourceText"/>
        </w:rPr>
      </w:pPr>
      <w:r>
        <w:rPr/>
      </w:r>
    </w:p>
    <w:p>
      <w:pPr>
        <w:pStyle w:val="PreformattedText"/>
        <w:bidi w:val="0"/>
        <w:spacing w:before="0" w:after="283"/>
        <w:jc w:val="left"/>
        <w:rPr/>
      </w:pPr>
      <w:r>
        <w:rPr/>
      </w:r>
    </w:p>
    <w:p>
      <w:pPr>
        <w:pStyle w:val="TextBody"/>
        <w:bidi w:val="0"/>
        <w:jc w:val="left"/>
        <w:rPr/>
      </w:pPr>
      <w:r>
        <w:rPr/>
        <w:t>This SPSS syntax first reverse codes the appropriate items, as needed, to ensure that all items are scored in the same direction. It then computes the mean scores for each of the five factors using the MEAN function to calculate the average score for each set of items. The syntax also labels the variables to make them more understandable, and runs descriptive statistics to generate means, standard deviations, minimum, and maximum values for each factor. Finally, it creates histograms to visualize the distribution of scores for each factor.</w:t>
      </w:r>
    </w:p>
    <w:p>
      <w:pPr>
        <w:pStyle w:val="TextBody"/>
        <w:bidi w:val="0"/>
        <w:spacing w:before="0" w:after="140"/>
        <w:jc w:val="left"/>
        <w:rPr/>
      </w:pPr>
      <w:r>
        <w:rPr/>
        <w:t>Using SPSS syntax to analyze data related to the Big Five Inventory can provide valuable insights into personality traits and their relationships with various outcomes.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default"/>
  </w:font>
  <w:font w:name="Liberation Mono">
    <w:altName w:val="Courier New"/>
    <w:charset w:val="01"/>
    <w:family w:val="swiss"/>
    <w:pitch w:val="default"/>
  </w:font>
  <w:font w:name="Arial">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rial" w:hAnsi="Arial" w:eastAsia="Noto Sans" w:cs="Noto Sans Devanagari"/>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Arial" w:hAnsi="Arial"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Noto Sans Devanagari"/>
    </w:rPr>
  </w:style>
  <w:style w:type="paragraph" w:styleId="Caption">
    <w:name w:val="Caption"/>
    <w:basedOn w:val="Normal"/>
    <w:qFormat/>
    <w:pPr>
      <w:suppressLineNumbers/>
      <w:spacing w:before="120" w:after="120"/>
    </w:pPr>
    <w:rPr>
      <w:rFonts w:ascii="Arial" w:hAnsi="Arial" w:cs="Noto Sans Devanagari"/>
      <w:i/>
      <w:iCs/>
      <w:sz w:val="24"/>
      <w:szCs w:val="24"/>
    </w:rPr>
  </w:style>
  <w:style w:type="paragraph" w:styleId="Index">
    <w:name w:val="Index"/>
    <w:basedOn w:val="Normal"/>
    <w:qFormat/>
    <w:pPr>
      <w:suppressLineNumbers/>
    </w:pPr>
    <w:rPr>
      <w:rFonts w:ascii="Arial" w:hAnsi="Arial"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LibreOffice/7.5.2.2$Linux_X86_64 LibreOffice_project/50$Build-2</Application>
  <AppVersion>15.0000</AppVersion>
  <Pages>3</Pages>
  <Words>797</Words>
  <Characters>4405</Characters>
  <CharactersWithSpaces>5103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2023-04-28T01:13:58Z</dcterms:created>
  <dc:creator/>
  <dc:description/>
  <dc:language>en-US</dc:language>
  <cp:lastModifiedBy/>
  <dcterms:modified xsi:type="dcterms:W3CDTF">2023-04-28T02:18:29Z</dcterms:modified>
  <cp:revision>1</cp:revision>
  <dc:subject/>
  <dc:title/>
</cp:coreProperties>
</file>