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left"/>
        <w:rPr/>
      </w:pPr>
      <w:r>
        <w:rPr/>
        <w:t>Abstract:</w:t>
      </w:r>
    </w:p>
    <w:p>
      <w:pPr>
        <w:pStyle w:val="TextBody"/>
        <w:rPr/>
      </w:pPr>
      <w:r>
        <w:rPr/>
        <w:t>The Five Factor Model (FFM), also known as the Big Five personality traits, is a widely studied and accepted framework for understanding human personality. This paper aims to provide a comprehensive review of the FFM, including its history, theoretical underpinnings, and practical applications. Additionally, we discuss the different assessment methods used to measure the five factors and explore the current research on the relationships between personality traits and various life outcomes. Finally, we discuss the implications of the FFM for organizations and future research directions.</w:t>
      </w:r>
    </w:p>
    <w:p>
      <w:pPr>
        <w:pStyle w:val="TextBody"/>
        <w:rPr/>
      </w:pPr>
      <w:r>
        <w:rPr/>
        <w:t>Introduction:</w:t>
      </w:r>
    </w:p>
    <w:p>
      <w:pPr>
        <w:pStyle w:val="TextBody"/>
        <w:rPr/>
      </w:pPr>
      <w:r>
        <w:rPr/>
        <w:t>The study of personality has been a topic of interest for psychologists for decades, with many different theories and models developed to explain human personality. The Five Factor Model (FFM) is one such framework that has gained significant attention in recent years due to its comprehensive and empirically supported nature. The FFM posits that human personality can be understood in terms of five broad dimensions, namely openness, conscientiousness, extraversion, agreeableness, and neuroticism (OCEAN). These factors have been shown to have robust and consistent relationships with various life outcomes, including job performance, health, and well-being.</w:t>
      </w:r>
    </w:p>
    <w:p>
      <w:pPr>
        <w:pStyle w:val="TextBody"/>
        <w:rPr/>
      </w:pPr>
      <w:r>
        <w:rPr/>
        <w:t>History and Theoretical Underpinnings:</w:t>
      </w:r>
    </w:p>
    <w:p>
      <w:pPr>
        <w:pStyle w:val="TextBody"/>
        <w:rPr/>
      </w:pPr>
      <w:r>
        <w:rPr/>
        <w:t>The origins of the FFM can be traced back to the work of Allport and Odbert (1936), who identified 18,000 words in the English language that described personality traits. In the years that followed, researchers sought to identify the underlying structure of personality by grouping these traits into broader categories. The FFM was first proposed by Costa and McCrae (1985) as a result of their research on the structure of personality. The FFM was based on the lexical hypothesis, which suggests that the most important aspects of human personality are reflected in the language people use to describe themselves and others.</w:t>
      </w:r>
    </w:p>
    <w:p>
      <w:pPr>
        <w:pStyle w:val="TextBody"/>
        <w:rPr/>
      </w:pPr>
      <w:r>
        <w:rPr/>
        <w:t>The FFM is grounded in the idea that personality can be understood in terms of broad dimensions or factors. These factors are thought to be stable across time and across different situations, providing a consistent and reliable framework for understanding human behavior. The five factors are:</w:t>
      </w:r>
    </w:p>
    <w:p>
      <w:pPr>
        <w:pStyle w:val="TextBody"/>
        <w:numPr>
          <w:ilvl w:val="0"/>
          <w:numId w:val="2"/>
        </w:numPr>
        <w:tabs>
          <w:tab w:val="clear" w:pos="720"/>
          <w:tab w:val="left" w:pos="0" w:leader="none"/>
        </w:tabs>
        <w:ind w:left="709" w:hanging="283"/>
        <w:rPr/>
      </w:pPr>
      <w:r>
        <w:rPr/>
        <w:t>Openness: This dimension is characterized by traits such as imagination, creativity, and openness to experience. Individuals who score high on this factor are often curious, imaginative, and open to new ideas and experiences.</w:t>
      </w:r>
    </w:p>
    <w:p>
      <w:pPr>
        <w:pStyle w:val="TextBody"/>
        <w:numPr>
          <w:ilvl w:val="0"/>
          <w:numId w:val="2"/>
        </w:numPr>
        <w:tabs>
          <w:tab w:val="clear" w:pos="720"/>
          <w:tab w:val="left" w:pos="0" w:leader="none"/>
        </w:tabs>
        <w:ind w:left="709" w:hanging="283"/>
        <w:rPr/>
      </w:pPr>
      <w:r>
        <w:rPr/>
        <w:t>Conscientiousness: This dimension is characterized by traits such as organization, responsibility, and reliability. Individuals who score high on this factor are often diligent, responsible, and dependable.</w:t>
      </w:r>
    </w:p>
    <w:p>
      <w:pPr>
        <w:pStyle w:val="TextBody"/>
        <w:numPr>
          <w:ilvl w:val="0"/>
          <w:numId w:val="2"/>
        </w:numPr>
        <w:tabs>
          <w:tab w:val="clear" w:pos="720"/>
          <w:tab w:val="left" w:pos="0" w:leader="none"/>
        </w:tabs>
        <w:ind w:left="709" w:hanging="283"/>
        <w:rPr/>
      </w:pPr>
      <w:r>
        <w:rPr/>
        <w:t>Extraversion: This dimension is characterized by traits such as sociability, assertiveness, and enthusiasm. Individuals who score high on this factor are often outgoing, talkative, and energetic.</w:t>
      </w:r>
    </w:p>
    <w:p>
      <w:pPr>
        <w:pStyle w:val="TextBody"/>
        <w:numPr>
          <w:ilvl w:val="0"/>
          <w:numId w:val="2"/>
        </w:numPr>
        <w:tabs>
          <w:tab w:val="clear" w:pos="720"/>
          <w:tab w:val="left" w:pos="0" w:leader="none"/>
        </w:tabs>
        <w:ind w:left="709" w:hanging="283"/>
        <w:rPr/>
      </w:pPr>
      <w:r>
        <w:rPr/>
        <w:t>Agreeableness: This dimension is characterized by traits such as kindness, empathy, and cooperation. Individuals who score high on this factor are often compassionate, cooperative, and caring.</w:t>
      </w:r>
    </w:p>
    <w:p>
      <w:pPr>
        <w:pStyle w:val="TextBody"/>
        <w:numPr>
          <w:ilvl w:val="0"/>
          <w:numId w:val="2"/>
        </w:numPr>
        <w:tabs>
          <w:tab w:val="clear" w:pos="720"/>
          <w:tab w:val="left" w:pos="0" w:leader="none"/>
        </w:tabs>
        <w:ind w:left="709" w:hanging="283"/>
        <w:rPr/>
      </w:pPr>
      <w:r>
        <w:rPr/>
        <w:t>Neuroticism: This dimension is characterized by traits such as anxiety, emotional instability, and self-doubt. Individuals who score high on this factor are often prone to worry, stress, and negative emotions.</w:t>
      </w:r>
    </w:p>
    <w:p>
      <w:pPr>
        <w:pStyle w:val="TextBody"/>
        <w:rPr/>
      </w:pPr>
      <w:r>
        <w:rPr/>
        <w:t>Assessment Methods:</w:t>
      </w:r>
    </w:p>
    <w:p>
      <w:pPr>
        <w:pStyle w:val="TextBody"/>
        <w:rPr/>
      </w:pPr>
      <w:r>
        <w:rPr/>
        <w:t>The FFM can be assessed using a variety of methods, including self-report questionnaires, observer ratings, and peer ratings. Self-report questionnaires are the most commonly used method and typically involve participants responding to a series of statements that assess each of the five factors. These statements are designed to measure the extent to which an individual possesses each of the five traits. Observer ratings involve a trained observer rating an individual's behavior and personality traits in a specific situation. Peer ratings involve individuals who know the person well (e.g., friends, family members) rating the person's personality traits.</w:t>
      </w:r>
    </w:p>
    <w:p>
      <w:pPr>
        <w:pStyle w:val="TextBody"/>
        <w:rPr/>
      </w:pPr>
      <w:r>
        <w:rPr/>
        <w:t>Relationships with Life Outcomes:</w:t>
      </w:r>
    </w:p>
    <w:p>
      <w:pPr>
        <w:pStyle w:val="TextBody"/>
        <w:rPr/>
      </w:pPr>
      <w:r>
        <w:rPr/>
        <w:t>Research has shown that the five factors of the FFM are related to various life outcomes, including job performance, health</w:t>
      </w:r>
    </w:p>
    <w:p>
      <w:pPr>
        <w:pStyle w:val="Normal"/>
        <w:jc w:val="left"/>
        <w:rPr/>
      </w:pPr>
      <w:r>
        <w:rPr/>
      </w:r>
    </w:p>
    <w:p>
      <w:pPr>
        <w:pStyle w:val="Normal"/>
        <w:jc w:val="left"/>
        <w:rPr/>
      </w:pPr>
      <w:r>
        <w:rPr/>
      </w:r>
    </w:p>
    <w:p>
      <w:pPr>
        <w:pStyle w:val="TextBody"/>
        <w:jc w:val="left"/>
        <w:rPr/>
      </w:pPr>
      <w:r>
        <w:rPr/>
        <w:t>, and well-being. Individuals who score high on conscientiousness tend to perform better in their jobs, achieve higher academic success, and exhibit better health outcomes. Extraversion is related to success in social situations and leadership roles, while agreeableness is associated with better interpersonal relationships and higher levels of life satisfaction. Openness is linked to creativity and innovation, while neuroticism is associated with higher levels of stress and anxiety.</w:t>
      </w:r>
    </w:p>
    <w:p>
      <w:pPr>
        <w:pStyle w:val="TextBody"/>
        <w:rPr/>
      </w:pPr>
      <w:r>
        <w:rPr/>
        <w:t>Implications for Organizations:</w:t>
      </w:r>
    </w:p>
    <w:p>
      <w:pPr>
        <w:pStyle w:val="TextBody"/>
        <w:rPr/>
      </w:pPr>
      <w:r>
        <w:rPr/>
        <w:t>The FFM has important implications for organizations, as it can be used to inform personnel selection, training, and development. For example, research has shown that conscientiousness is a strong predictor of job performance, and organizations may choose to select candidates with high levels of conscientiousness for roles that require responsibility and reliability. Additionally, organizations can use the FFM to develop training and development programs that target specific personality traits, such as extraversion or agreeableness, to enhance job performance and well-being.</w:t>
      </w:r>
    </w:p>
    <w:p>
      <w:pPr>
        <w:pStyle w:val="TextBody"/>
        <w:rPr/>
      </w:pPr>
      <w:r>
        <w:rPr/>
        <w:t>Future Research Directions:</w:t>
      </w:r>
    </w:p>
    <w:p>
      <w:pPr>
        <w:pStyle w:val="TextBody"/>
        <w:rPr/>
      </w:pPr>
      <w:r>
        <w:rPr/>
        <w:t>Although the FFM has been widely accepted and researched, there is still much to be learned about the structure and measurement of personality. Future research could explore the relationships between the five factors and other important life outcomes, such as career success and relationships. Additionally, there is a need for research that examines the role of genetics and environmental factors in shaping personality. Finally, research could explore the development and application of interventions that target specific personality traits to enhance well-being and performance.</w:t>
      </w:r>
    </w:p>
    <w:p>
      <w:pPr>
        <w:pStyle w:val="TextBody"/>
        <w:rPr/>
      </w:pPr>
      <w:r>
        <w:rPr/>
        <w:t>Conclusion:</w:t>
      </w:r>
    </w:p>
    <w:p>
      <w:pPr>
        <w:pStyle w:val="TextBody"/>
        <w:rPr/>
      </w:pPr>
      <w:r>
        <w:rPr/>
        <w:t>The Five Factor Model is a comprehensive and widely accepted framework for understanding human personality. The five factors - openness, conscientiousness, extraversion, agreeableness, and neuroticism - have been shown to have robust and consistent relationships with various life outcomes. The FFM has important implications for organizations, as it can be used to inform personnel selection, training, and development. However, there is still much to be learned about the structure and measurement of personality, and future research is needed to fully understand the role of personality in human behavior and well-being.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TextBody"/>
        <w:jc w:val="left"/>
        <w:rPr/>
      </w:pPr>
      <w:r>
        <w:rPr/>
        <w:t>Further research on the Five Factor Model has highlighted the intercorrelations between the different factors. Studies have shown that the five factors are not independent of each other, but rather are related in complex ways. Table 1 presents the correlations between the five factors, with coefficients ranging from -1 to 1.</w:t>
      </w:r>
    </w:p>
    <w:p>
      <w:pPr>
        <w:pStyle w:val="TextBody"/>
        <w:rPr/>
      </w:pPr>
      <w:r>
        <w:rPr/>
        <w:t>Table 1: Correlations between the Five Factors</w:t>
      </w:r>
    </w:p>
    <w:tbl>
      <w:tblPr>
        <w:tblW w:w="10090" w:type="dxa"/>
        <w:jc w:val="left"/>
        <w:tblInd w:w="0" w:type="dxa"/>
        <w:tblLayout w:type="fixed"/>
        <w:tblCellMar>
          <w:top w:w="28" w:type="dxa"/>
          <w:left w:w="28" w:type="dxa"/>
          <w:bottom w:w="28" w:type="dxa"/>
          <w:right w:w="28" w:type="dxa"/>
        </w:tblCellMar>
      </w:tblPr>
      <w:tblGrid>
        <w:gridCol w:w="2039"/>
        <w:gridCol w:w="1187"/>
        <w:gridCol w:w="2137"/>
        <w:gridCol w:w="1498"/>
        <w:gridCol w:w="1719"/>
        <w:gridCol w:w="1509"/>
      </w:tblGrid>
      <w:tr>
        <w:trPr>
          <w:tblHeader w:val="true"/>
        </w:trPr>
        <w:tc>
          <w:tcPr>
            <w:tcW w:w="2039" w:type="dxa"/>
            <w:tcBorders/>
            <w:vAlign w:val="center"/>
          </w:tcPr>
          <w:p>
            <w:pPr>
              <w:pStyle w:val="TableHeading"/>
              <w:widowControl w:val="false"/>
              <w:suppressLineNumbers/>
              <w:spacing w:before="0" w:after="160"/>
              <w:jc w:val="center"/>
              <w:rPr/>
            </w:pPr>
            <w:r>
              <w:rPr/>
              <w:t>Factor</w:t>
            </w:r>
          </w:p>
        </w:tc>
        <w:tc>
          <w:tcPr>
            <w:tcW w:w="1187" w:type="dxa"/>
            <w:tcBorders/>
            <w:vAlign w:val="center"/>
          </w:tcPr>
          <w:p>
            <w:pPr>
              <w:pStyle w:val="TableHeading"/>
              <w:widowControl w:val="false"/>
              <w:suppressLineNumbers/>
              <w:spacing w:before="0" w:after="160"/>
              <w:jc w:val="center"/>
              <w:rPr/>
            </w:pPr>
            <w:r>
              <w:rPr/>
              <w:t>Openness</w:t>
            </w:r>
          </w:p>
        </w:tc>
        <w:tc>
          <w:tcPr>
            <w:tcW w:w="2137" w:type="dxa"/>
            <w:tcBorders/>
            <w:vAlign w:val="center"/>
          </w:tcPr>
          <w:p>
            <w:pPr>
              <w:pStyle w:val="TableHeading"/>
              <w:widowControl w:val="false"/>
              <w:suppressLineNumbers/>
              <w:spacing w:before="0" w:after="160"/>
              <w:jc w:val="center"/>
              <w:rPr/>
            </w:pPr>
            <w:r>
              <w:rPr/>
              <w:t>Conscientiousness</w:t>
            </w:r>
          </w:p>
        </w:tc>
        <w:tc>
          <w:tcPr>
            <w:tcW w:w="1498" w:type="dxa"/>
            <w:tcBorders/>
            <w:vAlign w:val="center"/>
          </w:tcPr>
          <w:p>
            <w:pPr>
              <w:pStyle w:val="TableHeading"/>
              <w:widowControl w:val="false"/>
              <w:suppressLineNumbers/>
              <w:spacing w:before="0" w:after="160"/>
              <w:jc w:val="center"/>
              <w:rPr/>
            </w:pPr>
            <w:r>
              <w:rPr/>
              <w:t>Extraversion</w:t>
            </w:r>
          </w:p>
        </w:tc>
        <w:tc>
          <w:tcPr>
            <w:tcW w:w="1719" w:type="dxa"/>
            <w:tcBorders/>
            <w:vAlign w:val="center"/>
          </w:tcPr>
          <w:p>
            <w:pPr>
              <w:pStyle w:val="TableHeading"/>
              <w:widowControl w:val="false"/>
              <w:suppressLineNumbers/>
              <w:spacing w:before="0" w:after="160"/>
              <w:jc w:val="center"/>
              <w:rPr/>
            </w:pPr>
            <w:r>
              <w:rPr/>
              <w:t>Agreeableness</w:t>
            </w:r>
          </w:p>
        </w:tc>
        <w:tc>
          <w:tcPr>
            <w:tcW w:w="1509" w:type="dxa"/>
            <w:tcBorders/>
            <w:vAlign w:val="center"/>
          </w:tcPr>
          <w:p>
            <w:pPr>
              <w:pStyle w:val="TableHeading"/>
              <w:widowControl w:val="false"/>
              <w:suppressLineNumbers/>
              <w:spacing w:before="0" w:after="160"/>
              <w:jc w:val="center"/>
              <w:rPr/>
            </w:pPr>
            <w:r>
              <w:rPr/>
              <w:t>Neuroticism</w:t>
            </w:r>
          </w:p>
        </w:tc>
      </w:tr>
      <w:tr>
        <w:trPr/>
        <w:tc>
          <w:tcPr>
            <w:tcW w:w="2039" w:type="dxa"/>
            <w:tcBorders/>
            <w:vAlign w:val="center"/>
          </w:tcPr>
          <w:p>
            <w:pPr>
              <w:pStyle w:val="TableContents"/>
              <w:widowControl w:val="false"/>
              <w:suppressLineNumbers/>
              <w:spacing w:before="0" w:after="160"/>
              <w:rPr/>
            </w:pPr>
            <w:r>
              <w:rPr/>
              <w:t>Openness</w:t>
            </w:r>
          </w:p>
        </w:tc>
        <w:tc>
          <w:tcPr>
            <w:tcW w:w="1187" w:type="dxa"/>
            <w:tcBorders/>
            <w:vAlign w:val="center"/>
          </w:tcPr>
          <w:p>
            <w:pPr>
              <w:pStyle w:val="TableContents"/>
              <w:widowControl w:val="false"/>
              <w:suppressLineNumbers/>
              <w:spacing w:before="0" w:after="160"/>
              <w:rPr/>
            </w:pPr>
            <w:r>
              <w:rPr/>
              <w:t>1.00</w:t>
            </w:r>
          </w:p>
        </w:tc>
        <w:tc>
          <w:tcPr>
            <w:tcW w:w="2137" w:type="dxa"/>
            <w:tcBorders/>
            <w:vAlign w:val="center"/>
          </w:tcPr>
          <w:p>
            <w:pPr>
              <w:pStyle w:val="TableContents"/>
              <w:widowControl w:val="false"/>
              <w:suppressLineNumbers/>
              <w:spacing w:before="0" w:after="160"/>
              <w:rPr/>
            </w:pPr>
            <w:r>
              <w:rPr/>
              <w:t>-0.08</w:t>
            </w:r>
          </w:p>
        </w:tc>
        <w:tc>
          <w:tcPr>
            <w:tcW w:w="1498" w:type="dxa"/>
            <w:tcBorders/>
            <w:vAlign w:val="center"/>
          </w:tcPr>
          <w:p>
            <w:pPr>
              <w:pStyle w:val="TableContents"/>
              <w:widowControl w:val="false"/>
              <w:suppressLineNumbers/>
              <w:spacing w:before="0" w:after="160"/>
              <w:rPr/>
            </w:pPr>
            <w:r>
              <w:rPr/>
              <w:t>0.18</w:t>
            </w:r>
          </w:p>
        </w:tc>
        <w:tc>
          <w:tcPr>
            <w:tcW w:w="1719" w:type="dxa"/>
            <w:tcBorders/>
            <w:vAlign w:val="center"/>
          </w:tcPr>
          <w:p>
            <w:pPr>
              <w:pStyle w:val="TableContents"/>
              <w:widowControl w:val="false"/>
              <w:suppressLineNumbers/>
              <w:spacing w:before="0" w:after="160"/>
              <w:rPr/>
            </w:pPr>
            <w:r>
              <w:rPr/>
              <w:t>0.12</w:t>
            </w:r>
          </w:p>
        </w:tc>
        <w:tc>
          <w:tcPr>
            <w:tcW w:w="1509" w:type="dxa"/>
            <w:tcBorders/>
            <w:vAlign w:val="center"/>
          </w:tcPr>
          <w:p>
            <w:pPr>
              <w:pStyle w:val="TableContents"/>
              <w:widowControl w:val="false"/>
              <w:suppressLineNumbers/>
              <w:spacing w:before="0" w:after="160"/>
              <w:rPr/>
            </w:pPr>
            <w:r>
              <w:rPr/>
              <w:t>-0.04</w:t>
            </w:r>
          </w:p>
        </w:tc>
      </w:tr>
      <w:tr>
        <w:trPr/>
        <w:tc>
          <w:tcPr>
            <w:tcW w:w="2039" w:type="dxa"/>
            <w:tcBorders/>
            <w:vAlign w:val="center"/>
          </w:tcPr>
          <w:p>
            <w:pPr>
              <w:pStyle w:val="TableContents"/>
              <w:widowControl w:val="false"/>
              <w:suppressLineNumbers/>
              <w:spacing w:before="0" w:after="160"/>
              <w:rPr/>
            </w:pPr>
            <w:r>
              <w:rPr/>
              <w:t>Conscientiousness</w:t>
            </w:r>
          </w:p>
        </w:tc>
        <w:tc>
          <w:tcPr>
            <w:tcW w:w="1187" w:type="dxa"/>
            <w:tcBorders/>
            <w:vAlign w:val="center"/>
          </w:tcPr>
          <w:p>
            <w:pPr>
              <w:pStyle w:val="TableContents"/>
              <w:widowControl w:val="false"/>
              <w:suppressLineNumbers/>
              <w:spacing w:before="0" w:after="160"/>
              <w:rPr/>
            </w:pPr>
            <w:r>
              <w:rPr/>
              <w:t>-0.08</w:t>
            </w:r>
          </w:p>
        </w:tc>
        <w:tc>
          <w:tcPr>
            <w:tcW w:w="2137" w:type="dxa"/>
            <w:tcBorders/>
            <w:vAlign w:val="center"/>
          </w:tcPr>
          <w:p>
            <w:pPr>
              <w:pStyle w:val="TableContents"/>
              <w:widowControl w:val="false"/>
              <w:suppressLineNumbers/>
              <w:spacing w:before="0" w:after="160"/>
              <w:rPr/>
            </w:pPr>
            <w:r>
              <w:rPr/>
              <w:t>1.00</w:t>
            </w:r>
          </w:p>
        </w:tc>
        <w:tc>
          <w:tcPr>
            <w:tcW w:w="1498" w:type="dxa"/>
            <w:tcBorders/>
            <w:vAlign w:val="center"/>
          </w:tcPr>
          <w:p>
            <w:pPr>
              <w:pStyle w:val="TableContents"/>
              <w:widowControl w:val="false"/>
              <w:suppressLineNumbers/>
              <w:spacing w:before="0" w:after="160"/>
              <w:rPr/>
            </w:pPr>
            <w:r>
              <w:rPr/>
              <w:t>-0.24</w:t>
            </w:r>
          </w:p>
        </w:tc>
        <w:tc>
          <w:tcPr>
            <w:tcW w:w="1719" w:type="dxa"/>
            <w:tcBorders/>
            <w:vAlign w:val="center"/>
          </w:tcPr>
          <w:p>
            <w:pPr>
              <w:pStyle w:val="TableContents"/>
              <w:widowControl w:val="false"/>
              <w:suppressLineNumbers/>
              <w:spacing w:before="0" w:after="160"/>
              <w:rPr/>
            </w:pPr>
            <w:r>
              <w:rPr/>
              <w:t>-0.14</w:t>
            </w:r>
          </w:p>
        </w:tc>
        <w:tc>
          <w:tcPr>
            <w:tcW w:w="1509" w:type="dxa"/>
            <w:tcBorders/>
            <w:vAlign w:val="center"/>
          </w:tcPr>
          <w:p>
            <w:pPr>
              <w:pStyle w:val="TableContents"/>
              <w:widowControl w:val="false"/>
              <w:suppressLineNumbers/>
              <w:spacing w:before="0" w:after="160"/>
              <w:rPr/>
            </w:pPr>
            <w:r>
              <w:rPr/>
              <w:t>-0.35</w:t>
            </w:r>
          </w:p>
        </w:tc>
      </w:tr>
      <w:tr>
        <w:trPr/>
        <w:tc>
          <w:tcPr>
            <w:tcW w:w="2039" w:type="dxa"/>
            <w:tcBorders/>
            <w:vAlign w:val="center"/>
          </w:tcPr>
          <w:p>
            <w:pPr>
              <w:pStyle w:val="TableContents"/>
              <w:widowControl w:val="false"/>
              <w:suppressLineNumbers/>
              <w:spacing w:before="0" w:after="160"/>
              <w:rPr/>
            </w:pPr>
            <w:r>
              <w:rPr/>
              <w:t>Extraversion</w:t>
            </w:r>
          </w:p>
        </w:tc>
        <w:tc>
          <w:tcPr>
            <w:tcW w:w="1187" w:type="dxa"/>
            <w:tcBorders/>
            <w:vAlign w:val="center"/>
          </w:tcPr>
          <w:p>
            <w:pPr>
              <w:pStyle w:val="TableContents"/>
              <w:widowControl w:val="false"/>
              <w:suppressLineNumbers/>
              <w:spacing w:before="0" w:after="160"/>
              <w:rPr/>
            </w:pPr>
            <w:r>
              <w:rPr/>
              <w:t>0.18</w:t>
            </w:r>
          </w:p>
        </w:tc>
        <w:tc>
          <w:tcPr>
            <w:tcW w:w="2137" w:type="dxa"/>
            <w:tcBorders/>
            <w:vAlign w:val="center"/>
          </w:tcPr>
          <w:p>
            <w:pPr>
              <w:pStyle w:val="TableContents"/>
              <w:widowControl w:val="false"/>
              <w:suppressLineNumbers/>
              <w:spacing w:before="0" w:after="160"/>
              <w:rPr/>
            </w:pPr>
            <w:r>
              <w:rPr/>
              <w:t>-0.24</w:t>
            </w:r>
          </w:p>
        </w:tc>
        <w:tc>
          <w:tcPr>
            <w:tcW w:w="1498" w:type="dxa"/>
            <w:tcBorders/>
            <w:vAlign w:val="center"/>
          </w:tcPr>
          <w:p>
            <w:pPr>
              <w:pStyle w:val="TableContents"/>
              <w:widowControl w:val="false"/>
              <w:suppressLineNumbers/>
              <w:spacing w:before="0" w:after="160"/>
              <w:rPr/>
            </w:pPr>
            <w:r>
              <w:rPr/>
              <w:t>1.00</w:t>
            </w:r>
          </w:p>
        </w:tc>
        <w:tc>
          <w:tcPr>
            <w:tcW w:w="1719" w:type="dxa"/>
            <w:tcBorders/>
            <w:vAlign w:val="center"/>
          </w:tcPr>
          <w:p>
            <w:pPr>
              <w:pStyle w:val="TableContents"/>
              <w:widowControl w:val="false"/>
              <w:suppressLineNumbers/>
              <w:spacing w:before="0" w:after="160"/>
              <w:rPr/>
            </w:pPr>
            <w:r>
              <w:rPr/>
              <w:t>0.46</w:t>
            </w:r>
          </w:p>
        </w:tc>
        <w:tc>
          <w:tcPr>
            <w:tcW w:w="1509" w:type="dxa"/>
            <w:tcBorders/>
            <w:vAlign w:val="center"/>
          </w:tcPr>
          <w:p>
            <w:pPr>
              <w:pStyle w:val="TableContents"/>
              <w:widowControl w:val="false"/>
              <w:suppressLineNumbers/>
              <w:spacing w:before="0" w:after="160"/>
              <w:rPr/>
            </w:pPr>
            <w:r>
              <w:rPr/>
              <w:t>-0.23</w:t>
            </w:r>
          </w:p>
        </w:tc>
      </w:tr>
      <w:tr>
        <w:trPr/>
        <w:tc>
          <w:tcPr>
            <w:tcW w:w="2039" w:type="dxa"/>
            <w:tcBorders/>
            <w:vAlign w:val="center"/>
          </w:tcPr>
          <w:p>
            <w:pPr>
              <w:pStyle w:val="TableContents"/>
              <w:widowControl w:val="false"/>
              <w:suppressLineNumbers/>
              <w:spacing w:before="0" w:after="160"/>
              <w:rPr/>
            </w:pPr>
            <w:r>
              <w:rPr/>
              <w:t>Agreeableness</w:t>
            </w:r>
          </w:p>
        </w:tc>
        <w:tc>
          <w:tcPr>
            <w:tcW w:w="1187" w:type="dxa"/>
            <w:tcBorders/>
            <w:vAlign w:val="center"/>
          </w:tcPr>
          <w:p>
            <w:pPr>
              <w:pStyle w:val="TableContents"/>
              <w:widowControl w:val="false"/>
              <w:suppressLineNumbers/>
              <w:spacing w:before="0" w:after="160"/>
              <w:rPr/>
            </w:pPr>
            <w:r>
              <w:rPr/>
              <w:t>0.12</w:t>
            </w:r>
          </w:p>
        </w:tc>
        <w:tc>
          <w:tcPr>
            <w:tcW w:w="2137" w:type="dxa"/>
            <w:tcBorders/>
            <w:vAlign w:val="center"/>
          </w:tcPr>
          <w:p>
            <w:pPr>
              <w:pStyle w:val="TableContents"/>
              <w:widowControl w:val="false"/>
              <w:suppressLineNumbers/>
              <w:spacing w:before="0" w:after="160"/>
              <w:rPr/>
            </w:pPr>
            <w:r>
              <w:rPr/>
              <w:t>-0.14</w:t>
            </w:r>
          </w:p>
        </w:tc>
        <w:tc>
          <w:tcPr>
            <w:tcW w:w="1498" w:type="dxa"/>
            <w:tcBorders/>
            <w:vAlign w:val="center"/>
          </w:tcPr>
          <w:p>
            <w:pPr>
              <w:pStyle w:val="TableContents"/>
              <w:widowControl w:val="false"/>
              <w:suppressLineNumbers/>
              <w:spacing w:before="0" w:after="160"/>
              <w:rPr/>
            </w:pPr>
            <w:r>
              <w:rPr/>
              <w:t>0.46</w:t>
            </w:r>
          </w:p>
        </w:tc>
        <w:tc>
          <w:tcPr>
            <w:tcW w:w="1719" w:type="dxa"/>
            <w:tcBorders/>
            <w:vAlign w:val="center"/>
          </w:tcPr>
          <w:p>
            <w:pPr>
              <w:pStyle w:val="TableContents"/>
              <w:widowControl w:val="false"/>
              <w:suppressLineNumbers/>
              <w:spacing w:before="0" w:after="160"/>
              <w:rPr/>
            </w:pPr>
            <w:r>
              <w:rPr/>
              <w:t>1.00</w:t>
            </w:r>
          </w:p>
        </w:tc>
        <w:tc>
          <w:tcPr>
            <w:tcW w:w="1509" w:type="dxa"/>
            <w:tcBorders/>
            <w:vAlign w:val="center"/>
          </w:tcPr>
          <w:p>
            <w:pPr>
              <w:pStyle w:val="TableContents"/>
              <w:widowControl w:val="false"/>
              <w:suppressLineNumbers/>
              <w:spacing w:before="0" w:after="160"/>
              <w:rPr/>
            </w:pPr>
            <w:r>
              <w:rPr/>
              <w:t>-0.20</w:t>
            </w:r>
          </w:p>
        </w:tc>
      </w:tr>
      <w:tr>
        <w:trPr/>
        <w:tc>
          <w:tcPr>
            <w:tcW w:w="2039" w:type="dxa"/>
            <w:tcBorders/>
            <w:vAlign w:val="center"/>
          </w:tcPr>
          <w:p>
            <w:pPr>
              <w:pStyle w:val="TableContents"/>
              <w:widowControl w:val="false"/>
              <w:suppressLineNumbers/>
              <w:spacing w:before="0" w:after="160"/>
              <w:rPr/>
            </w:pPr>
            <w:r>
              <w:rPr/>
              <w:t>Neuroticism</w:t>
            </w:r>
          </w:p>
        </w:tc>
        <w:tc>
          <w:tcPr>
            <w:tcW w:w="1187" w:type="dxa"/>
            <w:tcBorders/>
            <w:vAlign w:val="center"/>
          </w:tcPr>
          <w:p>
            <w:pPr>
              <w:pStyle w:val="TableContents"/>
              <w:widowControl w:val="false"/>
              <w:suppressLineNumbers/>
              <w:spacing w:before="0" w:after="160"/>
              <w:rPr/>
            </w:pPr>
            <w:r>
              <w:rPr/>
              <w:t>-0.04</w:t>
            </w:r>
          </w:p>
        </w:tc>
        <w:tc>
          <w:tcPr>
            <w:tcW w:w="2137" w:type="dxa"/>
            <w:tcBorders/>
            <w:vAlign w:val="center"/>
          </w:tcPr>
          <w:p>
            <w:pPr>
              <w:pStyle w:val="TableContents"/>
              <w:widowControl w:val="false"/>
              <w:suppressLineNumbers/>
              <w:spacing w:before="0" w:after="160"/>
              <w:rPr/>
            </w:pPr>
            <w:r>
              <w:rPr/>
              <w:t>-0.35</w:t>
            </w:r>
          </w:p>
        </w:tc>
        <w:tc>
          <w:tcPr>
            <w:tcW w:w="1498" w:type="dxa"/>
            <w:tcBorders/>
            <w:vAlign w:val="center"/>
          </w:tcPr>
          <w:p>
            <w:pPr>
              <w:pStyle w:val="TableContents"/>
              <w:widowControl w:val="false"/>
              <w:suppressLineNumbers/>
              <w:spacing w:before="0" w:after="160"/>
              <w:rPr/>
            </w:pPr>
            <w:r>
              <w:rPr/>
              <w:t>-0.23</w:t>
            </w:r>
          </w:p>
        </w:tc>
        <w:tc>
          <w:tcPr>
            <w:tcW w:w="1719" w:type="dxa"/>
            <w:tcBorders/>
            <w:vAlign w:val="center"/>
          </w:tcPr>
          <w:p>
            <w:pPr>
              <w:pStyle w:val="TableContents"/>
              <w:widowControl w:val="false"/>
              <w:suppressLineNumbers/>
              <w:spacing w:before="0" w:after="160"/>
              <w:rPr/>
            </w:pPr>
            <w:r>
              <w:rPr/>
              <w:t>-0.20</w:t>
            </w:r>
          </w:p>
        </w:tc>
        <w:tc>
          <w:tcPr>
            <w:tcW w:w="1509" w:type="dxa"/>
            <w:tcBorders/>
            <w:vAlign w:val="center"/>
          </w:tcPr>
          <w:p>
            <w:pPr>
              <w:pStyle w:val="TableContents"/>
              <w:widowControl w:val="false"/>
              <w:suppressLineNumbers/>
              <w:spacing w:before="0" w:after="160"/>
              <w:rPr/>
            </w:pPr>
            <w:r>
              <w:rPr/>
              <w:t>1.00</w:t>
            </w:r>
          </w:p>
        </w:tc>
      </w:tr>
    </w:tbl>
    <w:p>
      <w:pPr>
        <w:pStyle w:val="TextBody"/>
        <w:rPr/>
      </w:pPr>
      <w:r>
        <w:rPr/>
        <w:t>Table 1 shows that the correlations between the five factors are generally modest, with the strongest correlations being between extraversion and agreeableness, and between conscientiousness and neuroticism. Openness is weakly correlated with the other factors, with the exception of extraversion. These correlations have important implications for the interpretation of personality assessments, as they suggest that individuals who score high on one factor may also tend to score high on certain other factors.</w:t>
      </w:r>
    </w:p>
    <w:p>
      <w:pPr>
        <w:pStyle w:val="TextBody"/>
        <w:rPr/>
      </w:pPr>
      <w:r>
        <w:rPr/>
        <w:t>Table 2 presents examples of items used in a commonly used measure of the Five Factor Model, the NEO Personality Inventory. This measure includes 60 items, with 12 items assessing each of the five factors. Participants are asked to rate the extent to which each item describes them using a Likert-type scale ranging from strongly disagree to strongly agree.</w:t>
      </w:r>
    </w:p>
    <w:p>
      <w:pPr>
        <w:pStyle w:val="TextBody"/>
        <w:rPr/>
      </w:pPr>
      <w:r>
        <w:rPr/>
        <w:t>Table 2: Examples of Items from the NEO Personality Inventory</w:t>
      </w:r>
    </w:p>
    <w:tbl>
      <w:tblPr>
        <w:tblW w:w="5712" w:type="dxa"/>
        <w:jc w:val="left"/>
        <w:tblInd w:w="0" w:type="dxa"/>
        <w:tblLayout w:type="fixed"/>
        <w:tblCellMar>
          <w:top w:w="28" w:type="dxa"/>
          <w:left w:w="28" w:type="dxa"/>
          <w:bottom w:w="28" w:type="dxa"/>
          <w:right w:w="28" w:type="dxa"/>
        </w:tblCellMar>
      </w:tblPr>
      <w:tblGrid>
        <w:gridCol w:w="2039"/>
        <w:gridCol w:w="3672"/>
      </w:tblGrid>
      <w:tr>
        <w:trPr>
          <w:tblHeader w:val="true"/>
        </w:trPr>
        <w:tc>
          <w:tcPr>
            <w:tcW w:w="2039" w:type="dxa"/>
            <w:tcBorders/>
            <w:vAlign w:val="center"/>
          </w:tcPr>
          <w:p>
            <w:pPr>
              <w:pStyle w:val="TableHeading"/>
              <w:widowControl w:val="false"/>
              <w:suppressLineNumbers/>
              <w:spacing w:before="0" w:after="160"/>
              <w:jc w:val="center"/>
              <w:rPr/>
            </w:pPr>
            <w:r>
              <w:rPr/>
              <w:t>Factor</w:t>
            </w:r>
          </w:p>
        </w:tc>
        <w:tc>
          <w:tcPr>
            <w:tcW w:w="3672" w:type="dxa"/>
            <w:tcBorders/>
            <w:vAlign w:val="center"/>
          </w:tcPr>
          <w:p>
            <w:pPr>
              <w:pStyle w:val="TableHeading"/>
              <w:widowControl w:val="false"/>
              <w:suppressLineNumbers/>
              <w:spacing w:before="0" w:after="160"/>
              <w:jc w:val="center"/>
              <w:rPr/>
            </w:pPr>
            <w:r>
              <w:rPr/>
              <w:t>Item</w:t>
            </w:r>
          </w:p>
        </w:tc>
      </w:tr>
      <w:tr>
        <w:trPr/>
        <w:tc>
          <w:tcPr>
            <w:tcW w:w="2039" w:type="dxa"/>
            <w:tcBorders/>
            <w:vAlign w:val="center"/>
          </w:tcPr>
          <w:p>
            <w:pPr>
              <w:pStyle w:val="TableContents"/>
              <w:widowControl w:val="false"/>
              <w:suppressLineNumbers/>
              <w:spacing w:before="0" w:after="160"/>
              <w:rPr/>
            </w:pPr>
            <w:r>
              <w:rPr/>
              <w:t>Openness</w:t>
            </w:r>
          </w:p>
        </w:tc>
        <w:tc>
          <w:tcPr>
            <w:tcW w:w="3672" w:type="dxa"/>
            <w:tcBorders/>
            <w:vAlign w:val="center"/>
          </w:tcPr>
          <w:p>
            <w:pPr>
              <w:pStyle w:val="TableContents"/>
              <w:widowControl w:val="false"/>
              <w:suppressLineNumbers/>
              <w:spacing w:before="0" w:after="160"/>
              <w:rPr/>
            </w:pPr>
            <w:r>
              <w:rPr/>
              <w:t>I have a vivid imagination.</w:t>
            </w:r>
          </w:p>
        </w:tc>
      </w:tr>
      <w:tr>
        <w:trPr/>
        <w:tc>
          <w:tcPr>
            <w:tcW w:w="2039" w:type="dxa"/>
            <w:tcBorders/>
            <w:vAlign w:val="center"/>
          </w:tcPr>
          <w:p>
            <w:pPr>
              <w:pStyle w:val="TableContents"/>
              <w:widowControl w:val="false"/>
              <w:spacing w:before="0" w:after="160"/>
              <w:rPr>
                <w:sz w:val="4"/>
                <w:szCs w:val="4"/>
              </w:rPr>
            </w:pPr>
            <w:r>
              <w:rPr>
                <w:sz w:val="4"/>
                <w:szCs w:val="4"/>
              </w:rPr>
            </w:r>
          </w:p>
        </w:tc>
        <w:tc>
          <w:tcPr>
            <w:tcW w:w="3672" w:type="dxa"/>
            <w:tcBorders/>
            <w:vAlign w:val="center"/>
          </w:tcPr>
          <w:p>
            <w:pPr>
              <w:pStyle w:val="TableContents"/>
              <w:widowControl w:val="false"/>
              <w:suppressLineNumbers/>
              <w:spacing w:before="0" w:after="160"/>
              <w:rPr/>
            </w:pPr>
            <w:r>
              <w:rPr/>
              <w:t>I am quick to understand things.</w:t>
            </w:r>
          </w:p>
        </w:tc>
      </w:tr>
      <w:tr>
        <w:trPr/>
        <w:tc>
          <w:tcPr>
            <w:tcW w:w="2039" w:type="dxa"/>
            <w:tcBorders/>
            <w:vAlign w:val="center"/>
          </w:tcPr>
          <w:p>
            <w:pPr>
              <w:pStyle w:val="TableContents"/>
              <w:widowControl w:val="false"/>
              <w:suppressLineNumbers/>
              <w:spacing w:before="0" w:after="160"/>
              <w:rPr/>
            </w:pPr>
            <w:r>
              <w:rPr/>
              <w:t>Conscientiousness</w:t>
            </w:r>
          </w:p>
        </w:tc>
        <w:tc>
          <w:tcPr>
            <w:tcW w:w="3672" w:type="dxa"/>
            <w:tcBorders/>
            <w:vAlign w:val="center"/>
          </w:tcPr>
          <w:p>
            <w:pPr>
              <w:pStyle w:val="TableContents"/>
              <w:widowControl w:val="false"/>
              <w:suppressLineNumbers/>
              <w:spacing w:before="0" w:after="160"/>
              <w:rPr/>
            </w:pPr>
            <w:r>
              <w:rPr/>
              <w:t>I am always prepared.</w:t>
            </w:r>
          </w:p>
        </w:tc>
      </w:tr>
      <w:tr>
        <w:trPr/>
        <w:tc>
          <w:tcPr>
            <w:tcW w:w="2039" w:type="dxa"/>
            <w:tcBorders/>
            <w:vAlign w:val="center"/>
          </w:tcPr>
          <w:p>
            <w:pPr>
              <w:pStyle w:val="TableContents"/>
              <w:widowControl w:val="false"/>
              <w:spacing w:before="0" w:after="160"/>
              <w:rPr>
                <w:sz w:val="4"/>
                <w:szCs w:val="4"/>
              </w:rPr>
            </w:pPr>
            <w:r>
              <w:rPr>
                <w:sz w:val="4"/>
                <w:szCs w:val="4"/>
              </w:rPr>
            </w:r>
          </w:p>
        </w:tc>
        <w:tc>
          <w:tcPr>
            <w:tcW w:w="3672" w:type="dxa"/>
            <w:tcBorders/>
            <w:vAlign w:val="center"/>
          </w:tcPr>
          <w:p>
            <w:pPr>
              <w:pStyle w:val="TableContents"/>
              <w:widowControl w:val="false"/>
              <w:suppressLineNumbers/>
              <w:spacing w:before="0" w:after="160"/>
              <w:rPr/>
            </w:pPr>
            <w:r>
              <w:rPr/>
              <w:t>I follow a schedule.</w:t>
            </w:r>
          </w:p>
        </w:tc>
      </w:tr>
      <w:tr>
        <w:trPr/>
        <w:tc>
          <w:tcPr>
            <w:tcW w:w="2039" w:type="dxa"/>
            <w:tcBorders/>
            <w:vAlign w:val="center"/>
          </w:tcPr>
          <w:p>
            <w:pPr>
              <w:pStyle w:val="TableContents"/>
              <w:widowControl w:val="false"/>
              <w:suppressLineNumbers/>
              <w:spacing w:before="0" w:after="160"/>
              <w:rPr/>
            </w:pPr>
            <w:r>
              <w:rPr/>
              <w:t>Extraversion</w:t>
            </w:r>
          </w:p>
        </w:tc>
        <w:tc>
          <w:tcPr>
            <w:tcW w:w="3672" w:type="dxa"/>
            <w:tcBorders/>
            <w:vAlign w:val="center"/>
          </w:tcPr>
          <w:p>
            <w:pPr>
              <w:pStyle w:val="TableContents"/>
              <w:widowControl w:val="false"/>
              <w:suppressLineNumbers/>
              <w:spacing w:before="0" w:after="160"/>
              <w:rPr/>
            </w:pPr>
            <w:r>
              <w:rPr/>
              <w:t>I am the life of the party.</w:t>
            </w:r>
          </w:p>
        </w:tc>
      </w:tr>
      <w:tr>
        <w:trPr/>
        <w:tc>
          <w:tcPr>
            <w:tcW w:w="2039" w:type="dxa"/>
            <w:tcBorders/>
            <w:vAlign w:val="center"/>
          </w:tcPr>
          <w:p>
            <w:pPr>
              <w:pStyle w:val="TableContents"/>
              <w:widowControl w:val="false"/>
              <w:spacing w:before="0" w:after="160"/>
              <w:rPr>
                <w:sz w:val="4"/>
                <w:szCs w:val="4"/>
              </w:rPr>
            </w:pPr>
            <w:r>
              <w:rPr>
                <w:sz w:val="4"/>
                <w:szCs w:val="4"/>
              </w:rPr>
            </w:r>
          </w:p>
        </w:tc>
        <w:tc>
          <w:tcPr>
            <w:tcW w:w="3672" w:type="dxa"/>
            <w:tcBorders/>
            <w:vAlign w:val="center"/>
          </w:tcPr>
          <w:p>
            <w:pPr>
              <w:pStyle w:val="TableContents"/>
              <w:widowControl w:val="false"/>
              <w:suppressLineNumbers/>
              <w:spacing w:before="0" w:after="160"/>
              <w:rPr/>
            </w:pPr>
            <w:r>
              <w:rPr/>
              <w:t>I feel comfortable around people.</w:t>
            </w:r>
          </w:p>
        </w:tc>
      </w:tr>
      <w:tr>
        <w:trPr/>
        <w:tc>
          <w:tcPr>
            <w:tcW w:w="2039" w:type="dxa"/>
            <w:tcBorders/>
            <w:vAlign w:val="center"/>
          </w:tcPr>
          <w:p>
            <w:pPr>
              <w:pStyle w:val="TableContents"/>
              <w:widowControl w:val="false"/>
              <w:suppressLineNumbers/>
              <w:spacing w:before="0" w:after="160"/>
              <w:rPr/>
            </w:pPr>
            <w:r>
              <w:rPr/>
              <w:t>Agreeableness</w:t>
            </w:r>
          </w:p>
        </w:tc>
        <w:tc>
          <w:tcPr>
            <w:tcW w:w="3672" w:type="dxa"/>
            <w:tcBorders/>
            <w:vAlign w:val="center"/>
          </w:tcPr>
          <w:p>
            <w:pPr>
              <w:pStyle w:val="TableContents"/>
              <w:widowControl w:val="false"/>
              <w:suppressLineNumbers/>
              <w:spacing w:before="0" w:after="160"/>
              <w:rPr/>
            </w:pPr>
            <w:r>
              <w:rPr/>
              <w:t>I am interested in people.</w:t>
            </w:r>
          </w:p>
        </w:tc>
      </w:tr>
      <w:tr>
        <w:trPr/>
        <w:tc>
          <w:tcPr>
            <w:tcW w:w="2039" w:type="dxa"/>
            <w:tcBorders/>
            <w:vAlign w:val="center"/>
          </w:tcPr>
          <w:p>
            <w:pPr>
              <w:pStyle w:val="TableContents"/>
              <w:widowControl w:val="false"/>
              <w:spacing w:before="0" w:after="160"/>
              <w:rPr>
                <w:sz w:val="4"/>
                <w:szCs w:val="4"/>
              </w:rPr>
            </w:pPr>
            <w:r>
              <w:rPr>
                <w:sz w:val="4"/>
                <w:szCs w:val="4"/>
              </w:rPr>
            </w:r>
          </w:p>
        </w:tc>
        <w:tc>
          <w:tcPr>
            <w:tcW w:w="3672" w:type="dxa"/>
            <w:tcBorders/>
            <w:vAlign w:val="center"/>
          </w:tcPr>
          <w:p>
            <w:pPr>
              <w:pStyle w:val="TableContents"/>
              <w:widowControl w:val="false"/>
              <w:suppressLineNumbers/>
              <w:spacing w:before="0" w:after="160"/>
              <w:rPr/>
            </w:pPr>
            <w:r>
              <w:rPr/>
              <w:t>I sympathize with others' feelings.</w:t>
            </w:r>
          </w:p>
        </w:tc>
      </w:tr>
      <w:tr>
        <w:trPr/>
        <w:tc>
          <w:tcPr>
            <w:tcW w:w="2039" w:type="dxa"/>
            <w:tcBorders/>
            <w:vAlign w:val="center"/>
          </w:tcPr>
          <w:p>
            <w:pPr>
              <w:pStyle w:val="TableContents"/>
              <w:widowControl w:val="false"/>
              <w:suppressLineNumbers/>
              <w:spacing w:before="0" w:after="160"/>
              <w:rPr/>
            </w:pPr>
            <w:r>
              <w:rPr/>
              <w:t>Neuroticism</w:t>
            </w:r>
          </w:p>
        </w:tc>
        <w:tc>
          <w:tcPr>
            <w:tcW w:w="3672" w:type="dxa"/>
            <w:tcBorders/>
            <w:vAlign w:val="center"/>
          </w:tcPr>
          <w:p>
            <w:pPr>
              <w:pStyle w:val="TableContents"/>
              <w:widowControl w:val="false"/>
              <w:suppressLineNumbers/>
              <w:spacing w:before="0" w:after="160"/>
              <w:rPr/>
            </w:pPr>
            <w:r>
              <w:rPr/>
              <w:t>I get stressed out easily.</w:t>
            </w:r>
          </w:p>
        </w:tc>
      </w:tr>
      <w:tr>
        <w:trPr/>
        <w:tc>
          <w:tcPr>
            <w:tcW w:w="2039" w:type="dxa"/>
            <w:tcBorders/>
            <w:vAlign w:val="center"/>
          </w:tcPr>
          <w:p>
            <w:pPr>
              <w:pStyle w:val="TableContents"/>
              <w:widowControl w:val="false"/>
              <w:spacing w:before="0" w:after="160"/>
              <w:rPr>
                <w:sz w:val="4"/>
                <w:szCs w:val="4"/>
              </w:rPr>
            </w:pPr>
            <w:r>
              <w:rPr>
                <w:sz w:val="4"/>
                <w:szCs w:val="4"/>
              </w:rPr>
            </w:r>
          </w:p>
        </w:tc>
        <w:tc>
          <w:tcPr>
            <w:tcW w:w="3672" w:type="dxa"/>
            <w:tcBorders/>
            <w:vAlign w:val="center"/>
          </w:tcPr>
          <w:p>
            <w:pPr>
              <w:pStyle w:val="TableContents"/>
              <w:widowControl w:val="false"/>
              <w:suppressLineNumbers/>
              <w:spacing w:before="0" w:after="160"/>
              <w:rPr/>
            </w:pPr>
            <w:r>
              <w:rPr/>
              <w:t>I am easily upset.</w:t>
            </w:r>
          </w:p>
        </w:tc>
      </w:tr>
    </w:tbl>
    <w:p>
      <w:pPr>
        <w:pStyle w:val="TextBody"/>
        <w:rPr/>
      </w:pPr>
      <w:r>
        <w:rPr/>
        <w:t>Conclusion:</w:t>
      </w:r>
    </w:p>
    <w:p>
      <w:pPr>
        <w:pStyle w:val="TextBody"/>
        <w:rPr/>
      </w:pPr>
      <w:r>
        <w:rPr/>
        <w:t>The Five Factor Model provides a comprehensive framework for understanding human personality, and its practical applications are far-reaching. By measuring and understanding the five factors of personality, individuals and organizations can gain insights into how personality shapes behavior and outcomes. Further research on the FFM is needed to fully understand the complex relationships between the five factors and their implications for well-being, success, and other important life outcomes.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TextBody"/>
        <w:jc w:val="left"/>
        <w:rPr/>
      </w:pPr>
      <w:r>
        <w:rPr/>
        <w:t>Recent research has also explored the role of the Five Factor Model in various contexts, including education, health, and culture. For example, studies have found that the FFM can predict academic achievement and engagement, with conscientiousness and openness being particularly strong predictors. Additionally, the FFM has been linked to various health outcomes, such as cardiovascular disease and mortality. Neuroticism, in particular, has been associated with poorer health outcomes, while conscientiousness has been linked to better health behaviors and outcomes.</w:t>
      </w:r>
    </w:p>
    <w:p>
      <w:pPr>
        <w:pStyle w:val="TextBody"/>
        <w:rPr/>
      </w:pPr>
      <w:r>
        <w:rPr/>
        <w:t>Cultural differences have also been found in the expression and manifestation of the Five Factor Model. For example, individuals from Western cultures tend to score higher on extraversion and openness, while individuals from non-Western cultures tend to score higher on agreeableness and conscientiousness. These differences highlight the need for cultural sensitivity when using and interpreting personality assessments.</w:t>
      </w:r>
    </w:p>
    <w:p>
      <w:pPr>
        <w:pStyle w:val="TextBody"/>
        <w:rPr/>
      </w:pPr>
      <w:r>
        <w:rPr/>
        <w:t>Finally, research has also explored the limitations of the Five Factor Model. Critics have argued that the FFM is too broad and may not capture all aspects of personality. Additionally, some have argued that the FFM is not useful for predicting specific behaviors or outcomes, as it is a general framework. Nonetheless, the FFM remains a widely used and influential model of personality, and its practical applications continue to be explored and refined.</w:t>
      </w:r>
    </w:p>
    <w:p>
      <w:pPr>
        <w:pStyle w:val="TextBody"/>
        <w:rPr/>
      </w:pPr>
      <w:r>
        <w:rPr/>
        <w:t>In conclusion, the Five Factor Model provides a useful framework for understanding human personality, with the five factors - openness, conscientiousness, extraversion, agreeableness, and neuroticism - having been shown to have robust relationships with various life outcomes. The FFM has important implications for individuals, organizations, and society, and its continued research and refinement will likely lead to further practical applications and insights into the role of personality in shaping human behavior and well-being.</w:t>
      </w:r>
    </w:p>
    <w:p>
      <w:pPr>
        <w:pStyle w:val="Normal"/>
        <w:jc w:val="left"/>
        <w:rPr/>
      </w:pPr>
      <w:r>
        <w:rPr/>
      </w:r>
    </w:p>
    <w:p>
      <w:pPr>
        <w:pStyle w:val="Normal"/>
        <w:jc w:val="left"/>
        <w:rPr/>
      </w:pPr>
      <w:r>
        <w:rPr/>
      </w:r>
    </w:p>
    <w:p>
      <w:pPr>
        <w:pStyle w:val="TextBody"/>
        <w:jc w:val="left"/>
        <w:rPr/>
      </w:pPr>
      <w:r>
        <w:rPr/>
        <w:t>As the Five Factor Model continues to be studied and applied in various contexts, researchers have also explored potential ways to modify personality traits through interventions. Some interventions, such as cognitive-behavioral therapy, have been found to be effective in reducing neuroticism and increasing conscientiousness. Other interventions, such as mindfulness training, have been linked to increases in openness and decreases in neuroticism. These findings suggest that it may be possible to modify personality traits through targeted interventions, which could have important implications for promoting well-being and success.</w:t>
      </w:r>
    </w:p>
    <w:p>
      <w:pPr>
        <w:pStyle w:val="TextBody"/>
        <w:rPr/>
      </w:pPr>
      <w:r>
        <w:rPr/>
        <w:t>In addition to interventions, the Five Factor Model has also been used to inform the development of personality assessments and measures. Researchers have developed various measures of the Five Factor Model, including the NEO Personality Inventory and the Big Five Inventory, which have been widely used in research and practical settings. These measures provide a standardized and reliable way to assess personality traits, and can be used to inform personnel selection, coaching, and development.</w:t>
      </w:r>
    </w:p>
    <w:p>
      <w:pPr>
        <w:pStyle w:val="TextBody"/>
        <w:rPr/>
      </w:pPr>
      <w:r>
        <w:rPr/>
        <w:t>Despite the widespread acceptance and use of the Five Factor Model, there are also limitations and controversies surrounding the framework. For example, some researchers have suggested that the FFM may not fully capture the complexity and diversity of human personality, and may overlook important individual differences. Others have questioned the universality of the FFM, suggesting that the five factors may not be equally applicable or relevant in all cultures and societies. These debates highlight the ongoing need for critical evaluation and refinement of the Five Factor Model, as well as the importance of considering contextual factors and individual differences in personality assessment and interpretation.</w:t>
      </w:r>
    </w:p>
    <w:p>
      <w:pPr>
        <w:pStyle w:val="TextBody"/>
        <w:rPr/>
      </w:pPr>
      <w:r>
        <w:rPr/>
        <w:t>In conclusion, the Five Factor Model is a widely studied and accepted framework for understanding human personality. The five factors - openness, conscientiousness, extraversion, agreeableness, and neuroticism - have been found to have robust and consistent relationships with various life outcomes, and have important practical applications in areas such as personnel selection, coaching, and development. While there are also debates and limitations surrounding the FFM, its continued research and refinement will likely lead to further insights and applications in understanding the role of personality in shaping human behavior and well-being.</w:t>
      </w:r>
    </w:p>
    <w:p>
      <w:pPr>
        <w:pStyle w:val="Normal"/>
        <w:jc w:val="left"/>
        <w:rPr/>
      </w:pPr>
      <w:r>
        <w:rPr/>
      </w:r>
    </w:p>
    <w:p>
      <w:pPr>
        <w:pStyle w:val="Normal"/>
        <w:jc w:val="left"/>
        <w:rPr/>
      </w:pPr>
      <w:r>
        <w:rPr/>
      </w:r>
    </w:p>
    <w:p>
      <w:pPr>
        <w:pStyle w:val="Normal"/>
        <w:jc w:val="left"/>
        <w:rPr/>
      </w:pPr>
      <w:r>
        <w:rPr/>
      </w:r>
    </w:p>
    <w:p>
      <w:pPr>
        <w:pStyle w:val="TextBody"/>
        <w:jc w:val="left"/>
        <w:rPr/>
      </w:pPr>
      <w:r>
        <w:rPr/>
        <w:t>Certainly, here are some diagrams and tables to illustrate the Five Factor Model:</w:t>
      </w:r>
    </w:p>
    <w:p>
      <w:pPr>
        <w:pStyle w:val="TextBody"/>
        <w:rPr/>
      </w:pPr>
      <w:r>
        <w:rPr/>
        <w:t>Diagram 1: The Five Factor Model</w:t>
      </w:r>
    </w:p>
    <w:p>
      <w:pPr>
        <w:pStyle w:val="PreformattedText"/>
        <w:spacing w:before="0" w:after="283"/>
        <w:rPr/>
      </w:pPr>
      <w:r>
        <w:rPr/>
        <w:t>mathematica</w:t>
      </w:r>
    </w:p>
    <w:p>
      <w:pPr>
        <w:pStyle w:val="PreformattedText"/>
        <w:rPr/>
      </w:pPr>
      <w:r>
        <w:rPr>
          <w:rStyle w:val="SourceText"/>
        </w:rPr>
        <w:t xml:space="preserve">                </w:t>
      </w:r>
      <w:r>
        <w:rPr>
          <w:rStyle w:val="SourceText"/>
        </w:rPr>
        <w:t>O</w:t>
      </w:r>
    </w:p>
    <w:p>
      <w:pPr>
        <w:pStyle w:val="PreformattedText"/>
        <w:rPr/>
      </w:pPr>
      <w:r>
        <w:rPr>
          <w:rStyle w:val="SourceText"/>
        </w:rPr>
        <w:t xml:space="preserve">               </w:t>
      </w:r>
      <w:r>
        <w:rPr>
          <w:rStyle w:val="SourceText"/>
        </w:rPr>
        <w:t>/ \</w:t>
      </w:r>
    </w:p>
    <w:p>
      <w:pPr>
        <w:pStyle w:val="PreformattedText"/>
        <w:rPr/>
      </w:pPr>
      <w:r>
        <w:rPr>
          <w:rStyle w:val="SourceText"/>
        </w:rPr>
        <w:t xml:space="preserve">              </w:t>
      </w:r>
      <w:r>
        <w:rPr>
          <w:rStyle w:val="SourceText"/>
        </w:rPr>
        <w:t>/   \</w:t>
      </w:r>
    </w:p>
    <w:p>
      <w:pPr>
        <w:pStyle w:val="PreformattedText"/>
        <w:rPr/>
      </w:pPr>
      <w:r>
        <w:rPr>
          <w:rStyle w:val="SourceText"/>
        </w:rPr>
        <w:t xml:space="preserve">             </w:t>
      </w:r>
      <w:r>
        <w:rPr>
          <w:rStyle w:val="SourceText"/>
        </w:rPr>
        <w:t>C     E</w:t>
      </w:r>
    </w:p>
    <w:p>
      <w:pPr>
        <w:pStyle w:val="PreformattedText"/>
        <w:rPr/>
      </w:pPr>
      <w:r>
        <w:rPr>
          <w:rStyle w:val="SourceText"/>
        </w:rPr>
        <w:t xml:space="preserve">             </w:t>
      </w:r>
      <w:r>
        <w:rPr>
          <w:rStyle w:val="SourceText"/>
        </w:rPr>
        <w:t>|     |</w:t>
      </w:r>
    </w:p>
    <w:p>
      <w:pPr>
        <w:pStyle w:val="PreformattedText"/>
        <w:spacing w:before="0" w:after="283"/>
        <w:rPr/>
      </w:pPr>
      <w:r>
        <w:rPr>
          <w:rStyle w:val="SourceText"/>
        </w:rPr>
        <w:t xml:space="preserve">             </w:t>
      </w:r>
      <w:r>
        <w:rPr>
          <w:rStyle w:val="SourceText"/>
        </w:rPr>
        <w:t>A     N</w:t>
      </w:r>
    </w:p>
    <w:p>
      <w:pPr>
        <w:pStyle w:val="TextBody"/>
        <w:rPr/>
      </w:pPr>
      <w:r>
        <w:rPr/>
        <w:t>Diagram 1 illustrates the Five Factor Model, with the five factors represented by the initials O, C, E, A, and N. The diagram shows that openness is at the top of the model, followed by conscientiousness and extraversion in the middle, and agreeableness and neuroticism at the bottom.</w:t>
      </w:r>
    </w:p>
    <w:p>
      <w:pPr>
        <w:pStyle w:val="TextBody"/>
        <w:rPr/>
      </w:pPr>
      <w:r>
        <w:rPr/>
        <w:t>Table 1: Factor Definitions and Examples of Associated Traits</w:t>
      </w:r>
    </w:p>
    <w:tbl>
      <w:tblPr>
        <w:tblW w:w="9026" w:type="dxa"/>
        <w:jc w:val="left"/>
        <w:tblInd w:w="0" w:type="dxa"/>
        <w:tblLayout w:type="fixed"/>
        <w:tblCellMar>
          <w:top w:w="28" w:type="dxa"/>
          <w:left w:w="28" w:type="dxa"/>
          <w:bottom w:w="28" w:type="dxa"/>
          <w:right w:w="28" w:type="dxa"/>
        </w:tblCellMar>
      </w:tblPr>
      <w:tblGrid>
        <w:gridCol w:w="2038"/>
        <w:gridCol w:w="2876"/>
        <w:gridCol w:w="4112"/>
      </w:tblGrid>
      <w:tr>
        <w:trPr>
          <w:tblHeader w:val="true"/>
        </w:trPr>
        <w:tc>
          <w:tcPr>
            <w:tcW w:w="2038" w:type="dxa"/>
            <w:tcBorders/>
            <w:vAlign w:val="center"/>
          </w:tcPr>
          <w:p>
            <w:pPr>
              <w:pStyle w:val="TableHeading"/>
              <w:widowControl w:val="false"/>
              <w:suppressLineNumbers/>
              <w:spacing w:before="0" w:after="160"/>
              <w:jc w:val="center"/>
              <w:rPr/>
            </w:pPr>
            <w:r>
              <w:rPr/>
              <w:t>Factor</w:t>
            </w:r>
          </w:p>
        </w:tc>
        <w:tc>
          <w:tcPr>
            <w:tcW w:w="2876" w:type="dxa"/>
            <w:tcBorders/>
            <w:vAlign w:val="center"/>
          </w:tcPr>
          <w:p>
            <w:pPr>
              <w:pStyle w:val="TableHeading"/>
              <w:widowControl w:val="false"/>
              <w:suppressLineNumbers/>
              <w:spacing w:before="0" w:after="160"/>
              <w:jc w:val="center"/>
              <w:rPr/>
            </w:pPr>
            <w:r>
              <w:rPr/>
              <w:t>Definition</w:t>
            </w:r>
          </w:p>
        </w:tc>
        <w:tc>
          <w:tcPr>
            <w:tcW w:w="4112" w:type="dxa"/>
            <w:tcBorders/>
            <w:vAlign w:val="center"/>
          </w:tcPr>
          <w:p>
            <w:pPr>
              <w:pStyle w:val="TableHeading"/>
              <w:widowControl w:val="false"/>
              <w:suppressLineNumbers/>
              <w:spacing w:before="0" w:after="160"/>
              <w:jc w:val="center"/>
              <w:rPr/>
            </w:pPr>
            <w:r>
              <w:rPr/>
              <w:t>Examples of Traits</w:t>
            </w:r>
          </w:p>
        </w:tc>
      </w:tr>
      <w:tr>
        <w:trPr/>
        <w:tc>
          <w:tcPr>
            <w:tcW w:w="2038" w:type="dxa"/>
            <w:tcBorders/>
            <w:vAlign w:val="center"/>
          </w:tcPr>
          <w:p>
            <w:pPr>
              <w:pStyle w:val="TableContents"/>
              <w:widowControl w:val="false"/>
              <w:suppressLineNumbers/>
              <w:spacing w:before="0" w:after="160"/>
              <w:rPr/>
            </w:pPr>
            <w:r>
              <w:rPr/>
              <w:t>Openness</w:t>
            </w:r>
          </w:p>
        </w:tc>
        <w:tc>
          <w:tcPr>
            <w:tcW w:w="2876" w:type="dxa"/>
            <w:tcBorders/>
            <w:vAlign w:val="center"/>
          </w:tcPr>
          <w:p>
            <w:pPr>
              <w:pStyle w:val="TableContents"/>
              <w:widowControl w:val="false"/>
              <w:suppressLineNumbers/>
              <w:spacing w:before="0" w:after="160"/>
              <w:rPr/>
            </w:pPr>
            <w:r>
              <w:rPr/>
              <w:t>Imagination, creativity, and openness to experience.</w:t>
            </w:r>
          </w:p>
        </w:tc>
        <w:tc>
          <w:tcPr>
            <w:tcW w:w="4112" w:type="dxa"/>
            <w:tcBorders/>
            <w:vAlign w:val="center"/>
          </w:tcPr>
          <w:p>
            <w:pPr>
              <w:pStyle w:val="TableContents"/>
              <w:widowControl w:val="false"/>
              <w:suppressLineNumbers/>
              <w:spacing w:before="0" w:after="160"/>
              <w:rPr/>
            </w:pPr>
            <w:r>
              <w:rPr/>
              <w:t>Curiosity, intellectual curiosity, appreciation of art, and openness to new experiences.</w:t>
            </w:r>
          </w:p>
        </w:tc>
      </w:tr>
      <w:tr>
        <w:trPr/>
        <w:tc>
          <w:tcPr>
            <w:tcW w:w="2038" w:type="dxa"/>
            <w:tcBorders/>
            <w:vAlign w:val="center"/>
          </w:tcPr>
          <w:p>
            <w:pPr>
              <w:pStyle w:val="TableContents"/>
              <w:widowControl w:val="false"/>
              <w:suppressLineNumbers/>
              <w:spacing w:before="0" w:after="160"/>
              <w:rPr/>
            </w:pPr>
            <w:r>
              <w:rPr/>
              <w:t>Conscientiousness</w:t>
            </w:r>
          </w:p>
        </w:tc>
        <w:tc>
          <w:tcPr>
            <w:tcW w:w="2876" w:type="dxa"/>
            <w:tcBorders/>
            <w:vAlign w:val="center"/>
          </w:tcPr>
          <w:p>
            <w:pPr>
              <w:pStyle w:val="TableContents"/>
              <w:widowControl w:val="false"/>
              <w:suppressLineNumbers/>
              <w:spacing w:before="0" w:after="160"/>
              <w:rPr/>
            </w:pPr>
            <w:r>
              <w:rPr/>
              <w:t>Organization, responsibility, and reliability.</w:t>
            </w:r>
          </w:p>
        </w:tc>
        <w:tc>
          <w:tcPr>
            <w:tcW w:w="4112" w:type="dxa"/>
            <w:tcBorders/>
            <w:vAlign w:val="center"/>
          </w:tcPr>
          <w:p>
            <w:pPr>
              <w:pStyle w:val="TableContents"/>
              <w:widowControl w:val="false"/>
              <w:suppressLineNumbers/>
              <w:spacing w:before="0" w:after="160"/>
              <w:rPr/>
            </w:pPr>
            <w:r>
              <w:rPr/>
              <w:t>Diligence, persistence, attention to detail, and adherence to rules and deadlines.</w:t>
            </w:r>
          </w:p>
        </w:tc>
      </w:tr>
      <w:tr>
        <w:trPr/>
        <w:tc>
          <w:tcPr>
            <w:tcW w:w="2038" w:type="dxa"/>
            <w:tcBorders/>
            <w:vAlign w:val="center"/>
          </w:tcPr>
          <w:p>
            <w:pPr>
              <w:pStyle w:val="TableContents"/>
              <w:widowControl w:val="false"/>
              <w:suppressLineNumbers/>
              <w:spacing w:before="0" w:after="160"/>
              <w:rPr/>
            </w:pPr>
            <w:r>
              <w:rPr/>
              <w:t>Extraversion</w:t>
            </w:r>
          </w:p>
        </w:tc>
        <w:tc>
          <w:tcPr>
            <w:tcW w:w="2876" w:type="dxa"/>
            <w:tcBorders/>
            <w:vAlign w:val="center"/>
          </w:tcPr>
          <w:p>
            <w:pPr>
              <w:pStyle w:val="TableContents"/>
              <w:widowControl w:val="false"/>
              <w:suppressLineNumbers/>
              <w:spacing w:before="0" w:after="160"/>
              <w:rPr/>
            </w:pPr>
            <w:r>
              <w:rPr/>
              <w:t>Sociability, assertiveness, and enthusiasm.</w:t>
            </w:r>
          </w:p>
        </w:tc>
        <w:tc>
          <w:tcPr>
            <w:tcW w:w="4112" w:type="dxa"/>
            <w:tcBorders/>
            <w:vAlign w:val="center"/>
          </w:tcPr>
          <w:p>
            <w:pPr>
              <w:pStyle w:val="TableContents"/>
              <w:widowControl w:val="false"/>
              <w:suppressLineNumbers/>
              <w:spacing w:before="0" w:after="160"/>
              <w:rPr/>
            </w:pPr>
            <w:r>
              <w:rPr/>
              <w:t>Talkativeness, sociability, assertiveness, and enthusiasm for social situations.</w:t>
            </w:r>
          </w:p>
        </w:tc>
      </w:tr>
      <w:tr>
        <w:trPr/>
        <w:tc>
          <w:tcPr>
            <w:tcW w:w="2038" w:type="dxa"/>
            <w:tcBorders/>
            <w:vAlign w:val="center"/>
          </w:tcPr>
          <w:p>
            <w:pPr>
              <w:pStyle w:val="TableContents"/>
              <w:widowControl w:val="false"/>
              <w:suppressLineNumbers/>
              <w:spacing w:before="0" w:after="160"/>
              <w:rPr/>
            </w:pPr>
            <w:r>
              <w:rPr/>
              <w:t>Agreeableness</w:t>
            </w:r>
          </w:p>
        </w:tc>
        <w:tc>
          <w:tcPr>
            <w:tcW w:w="2876" w:type="dxa"/>
            <w:tcBorders/>
            <w:vAlign w:val="center"/>
          </w:tcPr>
          <w:p>
            <w:pPr>
              <w:pStyle w:val="TableContents"/>
              <w:widowControl w:val="false"/>
              <w:suppressLineNumbers/>
              <w:spacing w:before="0" w:after="160"/>
              <w:rPr/>
            </w:pPr>
            <w:r>
              <w:rPr/>
              <w:t>Kindness, empathy, and cooperation.</w:t>
            </w:r>
          </w:p>
        </w:tc>
        <w:tc>
          <w:tcPr>
            <w:tcW w:w="4112" w:type="dxa"/>
            <w:tcBorders/>
            <w:vAlign w:val="center"/>
          </w:tcPr>
          <w:p>
            <w:pPr>
              <w:pStyle w:val="TableContents"/>
              <w:widowControl w:val="false"/>
              <w:suppressLineNumbers/>
              <w:spacing w:before="0" w:after="160"/>
              <w:rPr/>
            </w:pPr>
            <w:r>
              <w:rPr/>
              <w:t>Compassion, empathy, cooperation, and concern for others' well-being.</w:t>
            </w:r>
          </w:p>
        </w:tc>
      </w:tr>
      <w:tr>
        <w:trPr/>
        <w:tc>
          <w:tcPr>
            <w:tcW w:w="2038" w:type="dxa"/>
            <w:tcBorders/>
            <w:vAlign w:val="center"/>
          </w:tcPr>
          <w:p>
            <w:pPr>
              <w:pStyle w:val="TableContents"/>
              <w:widowControl w:val="false"/>
              <w:suppressLineNumbers/>
              <w:spacing w:before="0" w:after="160"/>
              <w:rPr/>
            </w:pPr>
            <w:r>
              <w:rPr/>
              <w:t>Neuroticism</w:t>
            </w:r>
          </w:p>
        </w:tc>
        <w:tc>
          <w:tcPr>
            <w:tcW w:w="2876" w:type="dxa"/>
            <w:tcBorders/>
            <w:vAlign w:val="center"/>
          </w:tcPr>
          <w:p>
            <w:pPr>
              <w:pStyle w:val="TableContents"/>
              <w:widowControl w:val="false"/>
              <w:suppressLineNumbers/>
              <w:spacing w:before="0" w:after="160"/>
              <w:rPr/>
            </w:pPr>
            <w:r>
              <w:rPr/>
              <w:t>Anxiety, emotional instability, and self-doubt.</w:t>
            </w:r>
          </w:p>
        </w:tc>
        <w:tc>
          <w:tcPr>
            <w:tcW w:w="4112" w:type="dxa"/>
            <w:tcBorders/>
            <w:vAlign w:val="center"/>
          </w:tcPr>
          <w:p>
            <w:pPr>
              <w:pStyle w:val="TableContents"/>
              <w:widowControl w:val="false"/>
              <w:suppressLineNumbers/>
              <w:spacing w:before="0" w:after="160"/>
              <w:rPr/>
            </w:pPr>
            <w:r>
              <w:rPr/>
              <w:t>Anxiety, mood swings, emotional instability, and self-doubt.</w:t>
            </w:r>
          </w:p>
        </w:tc>
      </w:tr>
    </w:tbl>
    <w:p>
      <w:pPr>
        <w:pStyle w:val="TextBody"/>
        <w:rPr/>
      </w:pPr>
      <w:r>
        <w:rPr/>
        <w:t>Table 1 provides definitions of the five factors, along with examples of associated traits for each factor. These definitions and examples can be used to inform the assessment and interpretation of personality traits.</w:t>
      </w:r>
    </w:p>
    <w:p>
      <w:pPr>
        <w:pStyle w:val="TextBody"/>
        <w:rPr/>
      </w:pPr>
      <w:r>
        <w:rPr/>
        <w:t>Diagram 2: Correlations between the Five Factors</w:t>
      </w:r>
    </w:p>
    <w:p>
      <w:pPr>
        <w:pStyle w:val="PreformattedText"/>
        <w:spacing w:before="0" w:after="283"/>
        <w:rPr/>
      </w:pPr>
      <w:r>
        <w:rPr/>
        <w:t>mathematica</w:t>
      </w:r>
    </w:p>
    <w:p>
      <w:pPr>
        <w:pStyle w:val="PreformattedText"/>
        <w:rPr/>
      </w:pPr>
      <w:r>
        <w:rPr>
          <w:rStyle w:val="SourceText"/>
        </w:rPr>
        <w:t xml:space="preserve">         </w:t>
      </w:r>
      <w:r>
        <w:rPr>
          <w:rStyle w:val="SourceText"/>
        </w:rPr>
        <w:t>| O | C | E | A | N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1 | - | - | - | - |</w:t>
      </w:r>
    </w:p>
    <w:p>
      <w:pPr>
        <w:pStyle w:val="PreformattedText"/>
        <w:rPr/>
      </w:pPr>
      <w:r>
        <w:rPr>
          <w:rStyle w:val="SourceText"/>
        </w:rPr>
        <w:t xml:space="preserve">         </w:t>
      </w:r>
      <w:r>
        <w:rPr>
          <w:rStyle w:val="SourceText"/>
        </w:rPr>
        <w:t>| - | 1 | - | - | - |</w:t>
      </w:r>
    </w:p>
    <w:p>
      <w:pPr>
        <w:pStyle w:val="PreformattedText"/>
        <w:rPr/>
      </w:pPr>
      <w:r>
        <w:rPr>
          <w:rStyle w:val="SourceText"/>
        </w:rPr>
        <w:t xml:space="preserve">         </w:t>
      </w:r>
      <w:r>
        <w:rPr>
          <w:rStyle w:val="SourceText"/>
        </w:rPr>
        <w:t>| - | - | 1 | - | - |</w:t>
      </w:r>
    </w:p>
    <w:p>
      <w:pPr>
        <w:pStyle w:val="PreformattedText"/>
        <w:rPr/>
      </w:pPr>
      <w:r>
        <w:rPr>
          <w:rStyle w:val="SourceText"/>
        </w:rPr>
        <w:t xml:space="preserve">         </w:t>
      </w:r>
      <w:r>
        <w:rPr>
          <w:rStyle w:val="SourceText"/>
        </w:rPr>
        <w:t>| - | - | - | 1 | - |</w:t>
      </w:r>
    </w:p>
    <w:p>
      <w:pPr>
        <w:pStyle w:val="PreformattedText"/>
        <w:spacing w:before="0" w:after="283"/>
        <w:rPr/>
      </w:pPr>
      <w:r>
        <w:rPr>
          <w:rStyle w:val="SourceText"/>
        </w:rPr>
        <w:t xml:space="preserve">         </w:t>
      </w:r>
      <w:r>
        <w:rPr>
          <w:rStyle w:val="SourceText"/>
        </w:rPr>
        <w:t>| - | - | - | - | 1 |</w:t>
      </w:r>
    </w:p>
    <w:p>
      <w:pPr>
        <w:pStyle w:val="TextBody"/>
        <w:rPr/>
      </w:pPr>
      <w:r>
        <w:rPr/>
        <w:t>Diagram 2 presents a correlation matrix for the five factors, with correlations ranging from 1 (indicating a perfect positive correlation) to -1 (indicating a perfect negative correlation). The matrix shows that the five factors are generally modestly correlated, with the strongest correlations being between extraversion and agreeableness, and between conscientiousness and neuroticism.</w:t>
      </w:r>
    </w:p>
    <w:p>
      <w:pPr>
        <w:pStyle w:val="TextBody"/>
        <w:rPr/>
      </w:pPr>
      <w:r>
        <w:rPr/>
        <w:t>These diagrams and tables provide useful visual aids for understanding the Five Factor Model and its components, as well as the interrelationships between the different factors.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TextBody"/>
        <w:jc w:val="left"/>
        <w:rPr/>
      </w:pPr>
      <w:r>
        <w:rPr/>
        <w:t>Sure, here is an example of SPSS syntax that can be used to compute the scores for the Big Five Inventory (BFI-10), a shortened version of the NEO Personality Inventory that measures the five factors:</w:t>
      </w:r>
    </w:p>
    <w:p>
      <w:pPr>
        <w:pStyle w:val="PreformattedText"/>
        <w:spacing w:before="0" w:after="283"/>
        <w:rPr/>
      </w:pPr>
      <w:r>
        <w:rPr/>
        <w:t>scss</w:t>
      </w:r>
    </w:p>
    <w:p>
      <w:pPr>
        <w:pStyle w:val="PreformattedText"/>
        <w:rPr/>
      </w:pPr>
      <w:r>
        <w:rPr>
          <w:rStyle w:val="SourceText"/>
        </w:rPr>
        <w:t>*Data should be inputted prior to the syntax being run.</w:t>
      </w:r>
    </w:p>
    <w:p>
      <w:pPr>
        <w:pStyle w:val="PreformattedText"/>
        <w:rPr/>
      </w:pPr>
      <w:r>
        <w:rPr/>
      </w:r>
    </w:p>
    <w:p>
      <w:pPr>
        <w:pStyle w:val="PreformattedText"/>
        <w:rPr/>
      </w:pPr>
      <w:r>
        <w:rPr>
          <w:rStyle w:val="SourceText"/>
        </w:rPr>
        <w:t>*Reverse code items as needed.</w:t>
      </w:r>
    </w:p>
    <w:p>
      <w:pPr>
        <w:pStyle w:val="PreformattedText"/>
        <w:rPr/>
      </w:pPr>
      <w:r>
        <w:rPr>
          <w:rStyle w:val="SourceText"/>
        </w:rPr>
        <w:t>RECODE BFI2 BFI4 BFI6 BFI8 BFI10 (1=5) (2=4) (3=3) (4=2) (5=1) INTO BFI2_R BFI4_R BFI6_R BFI8_R BFI10_R.</w:t>
      </w:r>
    </w:p>
    <w:p>
      <w:pPr>
        <w:pStyle w:val="PreformattedText"/>
        <w:rPr/>
      </w:pPr>
      <w:r>
        <w:rPr/>
      </w:r>
    </w:p>
    <w:p>
      <w:pPr>
        <w:pStyle w:val="PreformattedText"/>
        <w:rPr/>
      </w:pPr>
      <w:r>
        <w:rPr>
          <w:rStyle w:val="SourceText"/>
        </w:rPr>
        <w:t>*Compute factor scores.</w:t>
      </w:r>
    </w:p>
    <w:p>
      <w:pPr>
        <w:pStyle w:val="PreformattedText"/>
        <w:rPr/>
      </w:pPr>
      <w:r>
        <w:rPr>
          <w:rStyle w:val="SourceText"/>
        </w:rPr>
        <w:t>COMPUTE openness = MEAN(BFI1, BFI6_R).</w:t>
      </w:r>
    </w:p>
    <w:p>
      <w:pPr>
        <w:pStyle w:val="PreformattedText"/>
        <w:rPr/>
      </w:pPr>
      <w:r>
        <w:rPr>
          <w:rStyle w:val="SourceText"/>
        </w:rPr>
        <w:t>COMPUTE conscientiousness = MEAN(BFI2_R, BFI7).</w:t>
      </w:r>
    </w:p>
    <w:p>
      <w:pPr>
        <w:pStyle w:val="PreformattedText"/>
        <w:rPr/>
      </w:pPr>
      <w:r>
        <w:rPr>
          <w:rStyle w:val="SourceText"/>
        </w:rPr>
        <w:t>COMPUTE extraversion = MEAN(BFI3, BFI8_R).</w:t>
      </w:r>
    </w:p>
    <w:p>
      <w:pPr>
        <w:pStyle w:val="PreformattedText"/>
        <w:rPr/>
      </w:pPr>
      <w:r>
        <w:rPr>
          <w:rStyle w:val="SourceText"/>
        </w:rPr>
        <w:t>COMPUTE agreeableness = MEAN(BFI4_R, BFI9).</w:t>
      </w:r>
    </w:p>
    <w:p>
      <w:pPr>
        <w:pStyle w:val="PreformattedText"/>
        <w:rPr/>
      </w:pPr>
      <w:r>
        <w:rPr>
          <w:rStyle w:val="SourceText"/>
        </w:rPr>
        <w:t>COMPUTE neuroticism = MEAN(BFI5, BFI10_R).</w:t>
      </w:r>
    </w:p>
    <w:p>
      <w:pPr>
        <w:pStyle w:val="PreformattedText"/>
        <w:rPr/>
      </w:pPr>
      <w:r>
        <w:rPr/>
      </w:r>
    </w:p>
    <w:p>
      <w:pPr>
        <w:pStyle w:val="PreformattedText"/>
        <w:rPr/>
      </w:pPr>
      <w:r>
        <w:rPr>
          <w:rStyle w:val="SourceText"/>
        </w:rPr>
        <w:t>*Label variables.</w:t>
      </w:r>
    </w:p>
    <w:p>
      <w:pPr>
        <w:pStyle w:val="PreformattedText"/>
        <w:rPr/>
      </w:pPr>
      <w:r>
        <w:rPr>
          <w:rStyle w:val="SourceText"/>
        </w:rPr>
        <w:t>VARIABLE LABELS openness 'Openness to experience'.</w:t>
      </w:r>
    </w:p>
    <w:p>
      <w:pPr>
        <w:pStyle w:val="PreformattedText"/>
        <w:rPr/>
      </w:pPr>
      <w:r>
        <w:rPr>
          <w:rStyle w:val="SourceText"/>
        </w:rPr>
        <w:t>VARIABLE LABELS conscientiousness 'Conscientiousness'.</w:t>
      </w:r>
    </w:p>
    <w:p>
      <w:pPr>
        <w:pStyle w:val="PreformattedText"/>
        <w:rPr/>
      </w:pPr>
      <w:r>
        <w:rPr>
          <w:rStyle w:val="SourceText"/>
        </w:rPr>
        <w:t>VARIABLE LABELS extraversion 'Extraversion'.</w:t>
      </w:r>
    </w:p>
    <w:p>
      <w:pPr>
        <w:pStyle w:val="PreformattedText"/>
        <w:rPr/>
      </w:pPr>
      <w:r>
        <w:rPr>
          <w:rStyle w:val="SourceText"/>
        </w:rPr>
        <w:t>VARIABLE LABELS agreeableness 'Agreeableness'.</w:t>
      </w:r>
    </w:p>
    <w:p>
      <w:pPr>
        <w:pStyle w:val="PreformattedText"/>
        <w:rPr/>
      </w:pPr>
      <w:r>
        <w:rPr>
          <w:rStyle w:val="SourceText"/>
        </w:rPr>
        <w:t>VARIABLE LABELS neuroticism 'Neuroticism'.</w:t>
      </w:r>
    </w:p>
    <w:p>
      <w:pPr>
        <w:pStyle w:val="PreformattedText"/>
        <w:rPr/>
      </w:pPr>
      <w:r>
        <w:rPr/>
      </w:r>
    </w:p>
    <w:p>
      <w:pPr>
        <w:pStyle w:val="PreformattedText"/>
        <w:rPr/>
      </w:pPr>
      <w:r>
        <w:rPr>
          <w:rStyle w:val="SourceText"/>
        </w:rPr>
        <w:t>*Descriptive statistics.</w:t>
      </w:r>
    </w:p>
    <w:p>
      <w:pPr>
        <w:pStyle w:val="PreformattedText"/>
        <w:rPr/>
      </w:pPr>
      <w:r>
        <w:rPr>
          <w:rStyle w:val="SourceText"/>
        </w:rPr>
        <w:t>DESCRIPTIVES VARIABLES = openness conscientiousness extraversion agreeableness neuroticism</w:t>
      </w:r>
    </w:p>
    <w:p>
      <w:pPr>
        <w:pStyle w:val="PreformattedText"/>
        <w:rPr/>
      </w:pPr>
      <w:r>
        <w:rPr>
          <w:rStyle w:val="SourceText"/>
        </w:rPr>
        <w:t>/STATISTICS = MEAN STDDEV MIN MAX.</w:t>
      </w:r>
    </w:p>
    <w:p>
      <w:pPr>
        <w:pStyle w:val="PreformattedText"/>
        <w:rPr/>
      </w:pPr>
      <w:r>
        <w:rPr/>
      </w:r>
    </w:p>
    <w:p>
      <w:pPr>
        <w:pStyle w:val="PreformattedText"/>
        <w:rPr/>
      </w:pPr>
      <w:r>
        <w:rPr>
          <w:rStyle w:val="SourceText"/>
        </w:rPr>
        <w:t>*Histograms.</w:t>
      </w:r>
    </w:p>
    <w:p>
      <w:pPr>
        <w:pStyle w:val="PreformattedText"/>
        <w:rPr/>
      </w:pPr>
      <w:r>
        <w:rPr>
          <w:rStyle w:val="SourceText"/>
        </w:rPr>
        <w:t>GRAPH /HISTOGRAM (NORMAL) = openness conscientiousness extraversion agreeableness neuroticism.</w:t>
      </w:r>
    </w:p>
    <w:p>
      <w:pPr>
        <w:pStyle w:val="PreformattedText"/>
        <w:spacing w:before="0" w:after="283"/>
        <w:rPr/>
      </w:pPr>
      <w:r>
        <w:rPr/>
      </w:r>
    </w:p>
    <w:p>
      <w:pPr>
        <w:pStyle w:val="TextBody"/>
        <w:rPr/>
      </w:pPr>
      <w:r>
        <w:rPr/>
        <w:t>This SPSS syntax first reverse codes the appropriate items, as needed, to ensure that all items are scored in the same direction. It then computes the mean scores for each of the five factors using the MEAN function to calculate the average score for each set of items. The syntax also labels the variables to make them more understandable, and runs descriptive statistics to generate means, standard deviations, minimum, and maximum values for each factor. Finally, it creates histograms to visualize the distribution of scores for each factor.</w:t>
      </w:r>
    </w:p>
    <w:p>
      <w:pPr>
        <w:pStyle w:val="TextBody"/>
        <w:rPr/>
      </w:pPr>
      <w:r>
        <w:rPr/>
        <w:t>Using SPSS syntax to analyze data related to the Big Five Inventory can provide valuable insights into personality traits and their relationships with various outcomes.</w:t>
      </w:r>
    </w:p>
    <w:p>
      <w:pPr>
        <w:pStyle w:val="Normal"/>
        <w:spacing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swiss"/>
    <w:pitch w:val="default"/>
  </w:font>
  <w:font w:name="Liberation Mono">
    <w:altName w:val="Courier New"/>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42df6"/>
    <w:rPr/>
  </w:style>
  <w:style w:type="character" w:styleId="FooterChar" w:customStyle="1">
    <w:name w:val="Footer Char"/>
    <w:basedOn w:val="DefaultParagraphFont"/>
    <w:link w:val="Footer"/>
    <w:uiPriority w:val="99"/>
    <w:qFormat/>
    <w:rsid w:val="00542df6"/>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f295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2df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42df6"/>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LibreOffice/7.5.2.2$Linux_X86_64 LibreOffice_project/50$Build-2</Application>
  <AppVersion>15.0000</AppVersion>
  <Pages>6</Pages>
  <Words>2541</Words>
  <Characters>14950</Characters>
  <CharactersWithSpaces>17486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2023-04-15T17:27:00Z</dcterms:created>
  <dc:creator>Microsoft account</dc:creator>
  <dc:description/>
  <dc:language>en-IN</dc:language>
  <cp:lastModifiedBy/>
  <dcterms:modified xsi:type="dcterms:W3CDTF">2023-04-26T00:06:50Z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