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5A558D86" w:rsidR="00BD670B" w:rsidRPr="007D02AC" w:rsidRDefault="009303D9" w:rsidP="00BD670B">
      <w:pPr>
        <w:pStyle w:val="Author"/>
        <w:spacing w:before="5pt" w:beforeAutospacing="1"/>
        <w:rPr>
          <w:sz w:val="18"/>
          <w:szCs w:val="18"/>
          <w:lang w:val="pt-BR"/>
        </w:rPr>
      </w:pPr>
      <w:r w:rsidRPr="007D02AC">
        <w:rPr>
          <w:sz w:val="18"/>
          <w:szCs w:val="18"/>
          <w:lang w:val="pt-BR"/>
        </w:rPr>
        <w:t>line 1</w:t>
      </w:r>
      <w:r w:rsidR="001A3B3D" w:rsidRPr="007D02AC">
        <w:rPr>
          <w:sz w:val="18"/>
          <w:szCs w:val="18"/>
          <w:lang w:val="pt-BR"/>
        </w:rPr>
        <w:t>: 1</w:t>
      </w:r>
      <w:r w:rsidR="001A3B3D" w:rsidRPr="007D02AC">
        <w:rPr>
          <w:sz w:val="18"/>
          <w:szCs w:val="18"/>
          <w:vertAlign w:val="superscript"/>
          <w:lang w:val="pt-BR"/>
        </w:rPr>
        <w:t>st</w:t>
      </w:r>
      <w:r w:rsidR="001A3B3D" w:rsidRPr="007D02AC">
        <w:rPr>
          <w:sz w:val="18"/>
          <w:szCs w:val="18"/>
          <w:lang w:val="pt-BR"/>
        </w:rPr>
        <w:t xml:space="preserve"> </w:t>
      </w:r>
      <w:r w:rsidR="007D02AC" w:rsidRPr="007D02AC">
        <w:rPr>
          <w:sz w:val="18"/>
          <w:szCs w:val="18"/>
          <w:lang w:val="pt-BR"/>
        </w:rPr>
        <w:t>César Vieira</w:t>
      </w:r>
      <w:r w:rsidR="001A3B3D" w:rsidRPr="007D02AC">
        <w:rPr>
          <w:sz w:val="18"/>
          <w:szCs w:val="18"/>
          <w:lang w:val="pt-BR"/>
        </w:rPr>
        <w:t xml:space="preserve"> </w:t>
      </w:r>
      <w:r w:rsidR="00D72D06" w:rsidRPr="007D02AC">
        <w:rPr>
          <w:sz w:val="18"/>
          <w:szCs w:val="18"/>
          <w:lang w:val="pt-BR"/>
        </w:rPr>
        <w:br/>
      </w:r>
      <w:r w:rsidR="007D02AC" w:rsidRPr="007D02AC">
        <w:rPr>
          <w:i/>
          <w:sz w:val="18"/>
          <w:szCs w:val="18"/>
          <w:lang w:val="pt-BR"/>
        </w:rPr>
        <w:t>ISEP</w:t>
      </w:r>
      <w:r w:rsidRPr="007D02AC">
        <w:rPr>
          <w:i/>
          <w:sz w:val="18"/>
          <w:szCs w:val="18"/>
          <w:lang w:val="pt-BR"/>
        </w:rPr>
        <w:t xml:space="preserve"> </w:t>
      </w:r>
      <w:r w:rsidR="001A3B3D" w:rsidRPr="007D02AC">
        <w:rPr>
          <w:i/>
          <w:sz w:val="18"/>
          <w:szCs w:val="18"/>
          <w:lang w:val="pt-BR"/>
        </w:rPr>
        <w:br/>
      </w:r>
      <w:r w:rsidR="007D02AC" w:rsidRPr="007D02AC">
        <w:rPr>
          <w:sz w:val="18"/>
          <w:szCs w:val="18"/>
          <w:lang w:val="pt-BR"/>
        </w:rPr>
        <w:t xml:space="preserve">Porto,Portugal </w:t>
      </w:r>
      <w:r w:rsidR="001A3B3D" w:rsidRPr="007D02AC">
        <w:rPr>
          <w:sz w:val="18"/>
          <w:szCs w:val="18"/>
          <w:lang w:val="pt-BR"/>
        </w:rPr>
        <w:br/>
      </w:r>
      <w:r w:rsidR="007D02AC" w:rsidRPr="007D02AC">
        <w:rPr>
          <w:sz w:val="18"/>
          <w:szCs w:val="18"/>
          <w:lang w:val="pt-BR"/>
        </w:rPr>
        <w:t>1</w:t>
      </w:r>
      <w:r w:rsidR="007D02AC">
        <w:rPr>
          <w:sz w:val="18"/>
          <w:szCs w:val="18"/>
          <w:lang w:val="pt-BR"/>
        </w:rPr>
        <w:t>241523@isep.ipp.pt</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241FDA70" w:rsidR="009303D9" w:rsidRPr="00D632BE" w:rsidRDefault="009303D9" w:rsidP="006B6B66">
      <w:pPr>
        <w:pStyle w:val="Heading1"/>
      </w:pPr>
      <w:r w:rsidRPr="00D632BE">
        <w:t>Introduction</w:t>
      </w:r>
    </w:p>
    <w:p w14:paraId="6DC68A58" w14:textId="52D09FF4" w:rsidR="007D02AC" w:rsidRDefault="007D02AC" w:rsidP="007D02AC">
      <w:pPr>
        <w:pStyle w:val="BodyText"/>
      </w:pPr>
      <w:r>
        <w:t>The convergence of digital and physical security has become a defining challenge in the design of modern protective systems. Whereas traditional security architectures treated network-level intrusion detection and physical access control as separate domains, contemporary threats increasingly span both planes: an adversary may exploit a software vulnerability to gain a foothold on an internal network and subsequently use that access to disable physical access controls, manipulate surveillance infrastructure, or exfiltrate data tied to physical operations. Addressing this convergence requires integrated cyber-physical surveillance systems capable of monitoring both the digital behavior of hosts on a network and the physical presence of individuals within a protected environment.</w:t>
      </w:r>
      <w:r>
        <w:t xml:space="preserve"> </w:t>
      </w:r>
      <w:r>
        <w:t>This paper documents the design, implementation, and evaluation of a cyber-physical surveillance system developed as a master's project, integrating two complementary modules into a unified security architecture. The first module addresses the digital layer performing automated anomaly detection on Windows endpoint logs, with the goal of identifying suspicious or malicious activity on the hosts of a monitored digital infrastructure. The second module addresses the physical layer by implementing a face recognition pipeline that identifies individuals captured by cameras and verifies whether they belong to a recognized group of authorized personnel, flagging those who cannot be matched as unauthorized and triggering an appropriate response. Although each module operates independently, they share a common security objective and together provide a unified view of threats across both the digital and physical dimensions of the protected environment.</w:t>
      </w:r>
    </w:p>
    <w:p w14:paraId="6A1C6533" w14:textId="22AC0651" w:rsidR="007D02AC" w:rsidRDefault="007D02AC" w:rsidP="007D02AC">
      <w:pPr>
        <w:pStyle w:val="BodyText"/>
      </w:pPr>
      <w:r>
        <w:t xml:space="preserve">Regarding the first component, we investigate and compare two fundamentally different paradigms for log-based anomaly detection. The first is a classical pipeline combining engineered features, traditional Machine Learning and Deep Learning (DL) models, where statistical anomaly scorers such as Isolation Forest operate on aggregated window-level features drawn from Windows System Monitor (Sysmon) and Event Tracing for Windows (ETW) logs and sequence models such as Gated Recurrent Units (GRUs), capture temporal dependencies within process sessions. The second is a Dual Large Language Model (LLM) architecture, where one LLM instance receives raw Sysmon log sequences directly and determines whether the observed activity is anomalous, and a second LLM instance acts as an LLM-as-a-judge, verifying whether the sequences flagged by the first model genuinely correspond to a known attack vector. The central research question is how these two paradigms compare across dimensions of detection performance, explanation quality, and practical </w:t>
      </w:r>
      <w:proofErr w:type="spellStart"/>
      <w:r>
        <w:t>deployability</w:t>
      </w:r>
      <w:proofErr w:type="spellEnd"/>
      <w:r>
        <w:t>.</w:t>
      </w:r>
    </w:p>
    <w:p w14:paraId="7E18D46B" w14:textId="15770CA1" w:rsidR="007D02AC" w:rsidRDefault="007D02AC" w:rsidP="007D02AC">
      <w:pPr>
        <w:pStyle w:val="BodyText"/>
        <w:ind w:firstLine="0pt"/>
      </w:pPr>
      <w:r>
        <w:tab/>
      </w:r>
      <w:r>
        <w:t>Windows endpoint logs was chosen due to the prevalence of Windows in enterprise and institutional environments and the tools available for its telemetry infrastructure. At the foundation of this infrastructure sits Event Tracing for Windows (ETW), a high-performance kernel-level logging mechanism built directly into the operating system. ETW exposes a wide range of providers that emit structured events covering system calls, hardware performance counters, network activity, file I/O, and process lifecycle events, among others, making it the most comprehensive source of behavioral data available on a Windows host</w:t>
      </w:r>
      <w:r>
        <w:t xml:space="preserve"> REF AQUI</w:t>
      </w:r>
      <w:r>
        <w:t xml:space="preserve">. Building on top of ETW, Microsoft </w:t>
      </w:r>
      <w:proofErr w:type="spellStart"/>
      <w:r>
        <w:t>Sysinternals</w:t>
      </w:r>
      <w:proofErr w:type="spellEnd"/>
      <w:r>
        <w:t xml:space="preserve">' System Monitor (Sysmon) provides a more accessible and security-oriented telemetry layer by instrumenting the Windows kernel to emit detailed structured events covering process creation and termination, network connections, file system operations, registry modifications, driver loads, and inter-process interactions, presenting them in a normalized format well-suited to downstream analysis </w:t>
      </w:r>
      <w:r>
        <w:t>REF AQUI</w:t>
      </w:r>
      <w:r>
        <w:t xml:space="preserve">. Together, these two sources provide a high-fidelity behavioral record of host activity. This richness comes at a cost, however, as a single active workstation may generate several million events per day, the vast majority of which reflect entirely benign operations. The core challenge of host-based anomaly detection is therefore one of signal extraction, where given a high-volume, high-dimensional and largely </w:t>
      </w:r>
      <w:proofErr w:type="spellStart"/>
      <w:r>
        <w:t>unlabelled</w:t>
      </w:r>
      <w:proofErr w:type="spellEnd"/>
      <w:r>
        <w:t xml:space="preserve"> event stream, how can an automated system reliably distinguish the small subset of genuinely anomalous behavior from the ambient noise of normal operations?</w:t>
      </w:r>
    </w:p>
    <w:p w14:paraId="199A1B03" w14:textId="77777777" w:rsidR="007D02AC" w:rsidRDefault="007D02AC" w:rsidP="007D02AC">
      <w:pPr>
        <w:pStyle w:val="BodyText"/>
      </w:pPr>
    </w:p>
    <w:p w14:paraId="6AC8A753" w14:textId="0D8558ED" w:rsidR="007D02AC" w:rsidRDefault="007D02AC" w:rsidP="007D02AC">
      <w:pPr>
        <w:pStyle w:val="BodyText"/>
      </w:pPr>
      <w:r>
        <w:t xml:space="preserve">The application of machine learning and deep learning to log-based intrusion detection has emerged as a principled complement to rule-based approaches. Supervised classifiers can learn behavioral boundaries from labeled training data, offering generalization beyond fixed signatures. One-class and anomaly detection models trained exclusively on normal activity, such as Isolation Forest </w:t>
      </w:r>
      <w:r>
        <w:t>REF AQUI</w:t>
      </w:r>
      <w:r>
        <w:t>, One-Class SVM, and autoencoders, are especially well-suited to the operational reality of endpoint security, where labeled attack samples are scarce and the variety of adversarial behavior is unpredictable by design. Sequence models, including Long Short-Term Memory (LSTM) networks and Transformer architectures, can capture temporal dependencies within event streams, enabling detection of multi-step attack chains that no individual event would flag in isolation.</w:t>
      </w:r>
    </w:p>
    <w:p w14:paraId="4A646B1F" w14:textId="596D1DB4" w:rsidR="007D02AC" w:rsidRDefault="007D02AC" w:rsidP="007D02AC">
      <w:pPr>
        <w:pStyle w:val="BodyText"/>
      </w:pPr>
      <w:r>
        <w:t xml:space="preserve">Despite these advances, several fundamental limitations persist across the classical ML and DL literature. Anomaly scoring is, by construction, agnostic to semantic meaning: a high anomaly score indicates statistical deviation from the training distribution but provides no direct account of what the deviation represents, which ATT&amp;CK technique it may correspond to, or why it should be investigated with urgency. Translating a numerical score into actionable threat intelligence requires substantial analyst effort, creating a bottleneck that reduces much of the efficiency gain from automated detection </w:t>
      </w:r>
      <w:r>
        <w:t>REF AQUI</w:t>
      </w:r>
      <w:r>
        <w:t xml:space="preserve">. Additionally, very few works rigorously evaluate concept drift, where the statistical properties of normal behavior gradually change over time as software, user habits, and configurations evolve, which causes alert fatigue and model degradation in production deployments </w:t>
      </w:r>
      <w:r>
        <w:t>REF AQUI</w:t>
      </w:r>
      <w:r>
        <w:t>.</w:t>
      </w:r>
    </w:p>
    <w:p w14:paraId="691D08A0" w14:textId="79296B30" w:rsidR="007D02AC" w:rsidRDefault="007D02AC" w:rsidP="007D02AC">
      <w:pPr>
        <w:pStyle w:val="BodyText"/>
      </w:pPr>
      <w:r>
        <w:t xml:space="preserve">The emergence of Large Language Models (LLMs) capable of open-ended reasoning over structured text opens a new avenue for addressing the semantic gap that classical approaches leave unresolved. An LLM with sufficient context can examine a window of Sysmon events, relate them to known ATT&amp;CK techniques, identify corroborating or contradictory evidence within the window, and produce a coherent natural-language explanation of its assessment, approximating the reasoning process of a skilled threat analyst at scale. Recent empirical work in adjacent domains has suggested that frontier LLMs exhibit meaningful capability for cybersecurity reasoning tasks, including vulnerability explanation, malware attribution, and procedure-to-technique mapping </w:t>
      </w:r>
      <w:r>
        <w:t>REF AQUI</w:t>
      </w:r>
      <w:r>
        <w:t>. LLMs, however, also exhibit well-documented tendencies toward hallucination, where they generate plausible-sounding but factually unsupported claims. This property is particularly dangerous in a security context, as false attributions can misdirect investigations or create unwarranted confidence. The Dual LLM architecture adopted in this work addresses this risk by introducing a second model as a judge, so that all analyst claims must be grounded in evidence present within the submitted event window.</w:t>
      </w:r>
    </w:p>
    <w:p w14:paraId="60BF800F" w14:textId="7809F30A" w:rsidR="007D02AC" w:rsidRDefault="007D02AC" w:rsidP="007D02AC">
      <w:pPr>
        <w:pStyle w:val="BodyText"/>
      </w:pPr>
      <w:r>
        <w:t>The two pipelines are evaluated against a curated set of public Windows endpoint datasets spanning lateral movement (LMD-2023), ransomware (SILRAD), APT simulation (Splunk Attack Data, OTRF Security-Datasets), and kernel-level activity (Kellect4APT), complemented by the author's personal baseline logs collected under normal operating conditions to calibrate anomaly thresholds and reduce false-positive rates. Evaluation spans both classical metrics, including AUC, F1, and false-positive rate, and LLM-specific metrics including technique identification correctness, evidence-grounding score as assessed by the judge model, and hallucination rate under adversarial prompt conditions.</w:t>
      </w:r>
    </w:p>
    <w:p w14:paraId="5B84FB04" w14:textId="2DA0B816" w:rsidR="009303D9" w:rsidRPr="005B520E" w:rsidRDefault="007D02AC" w:rsidP="007D02AC">
      <w:pPr>
        <w:pStyle w:val="BodyText"/>
      </w:pPr>
      <w:r>
        <w:t>The remainder of this paper is organized as follows. Section 2 surveys the relevant literature, covering Sysmon- and ETW-based detection approaches, provenance graph methods, and the emerging application of LLMs to cybersecurity tasks. Section 3 describes the threat model and datasets. Section 4 presents the architecture of both the classical and Dual LLM pipelines in detail. Section 5 reports experimental results and a comparative analysis of the two approaches. Section 6 discusses implications, limitations, and directions for future work. Section 7 concludes.</w:t>
      </w:r>
      <w:r w:rsidR="009303D9" w:rsidRPr="005B520E">
        <w:t xml:space="preserve"> </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379DB829" w:rsidR="009303D9" w:rsidRPr="005B520E" w:rsidRDefault="009303D9" w:rsidP="00E7596C">
      <w:pPr>
        <w:pStyle w:val="BodyText"/>
      </w:pPr>
      <w:r w:rsidRPr="005B520E">
        <w:t>First</w:t>
      </w:r>
    </w:p>
    <w:p w14:paraId="66739D0E" w14:textId="77777777" w:rsidR="009303D9" w:rsidRPr="005B520E" w:rsidRDefault="009303D9" w:rsidP="00ED0149">
      <w:pPr>
        <w:pStyle w:val="Heading2"/>
      </w:pPr>
      <w:r w:rsidRPr="005B520E">
        <w:t>Maintaining the Integrity of the Specifications</w:t>
      </w:r>
    </w:p>
    <w:p w14:paraId="7C5D0763" w14:textId="3191A5E5" w:rsidR="009303D9" w:rsidRPr="005B520E" w:rsidRDefault="009303D9" w:rsidP="00E7596C">
      <w:pPr>
        <w:pStyle w:val="BodyText"/>
      </w:pPr>
      <w:r w:rsidRPr="005B520E">
        <w:t>The</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642E2BB0" w:rsidR="00D7522C" w:rsidRPr="00D7522C" w:rsidRDefault="009303D9" w:rsidP="00E7596C">
      <w:pPr>
        <w:pStyle w:val="BodyText"/>
        <w:rPr>
          <w:lang w:val="en-US"/>
        </w:rPr>
      </w:pPr>
      <w:r w:rsidRPr="00E7596C">
        <w:t>Before</w:t>
      </w:r>
    </w:p>
    <w:p w14:paraId="21C51E20" w14:textId="78F1C068" w:rsidR="009303D9" w:rsidRPr="005B520E" w:rsidRDefault="00CD5AA3" w:rsidP="00E7596C">
      <w:pPr>
        <w:pStyle w:val="BodyText"/>
      </w:pPr>
      <w:r>
        <w:t>Paragraph</w:t>
      </w:r>
    </w:p>
    <w:p w14:paraId="22217789" w14:textId="77777777" w:rsidR="009303D9" w:rsidRDefault="009303D9" w:rsidP="00ED0149">
      <w:pPr>
        <w:pStyle w:val="Heading2"/>
      </w:pPr>
      <w:r w:rsidRPr="00ED0149">
        <w:t>Abbreviations</w:t>
      </w:r>
      <w:r>
        <w:t xml:space="preserve"> and Acronyms</w:t>
      </w:r>
    </w:p>
    <w:p w14:paraId="78F3884D" w14:textId="5A4EE6B6" w:rsidR="009303D9" w:rsidRPr="005B520E" w:rsidRDefault="009303D9" w:rsidP="00E7596C">
      <w:pPr>
        <w:pStyle w:val="BodyText"/>
      </w:pPr>
      <w:r w:rsidRPr="005B520E">
        <w:t xml:space="preserve">Define </w:t>
      </w:r>
    </w:p>
    <w:p w14:paraId="31C0E164" w14:textId="77777777" w:rsidR="009303D9" w:rsidRDefault="009303D9" w:rsidP="00ED0149">
      <w:pPr>
        <w:pStyle w:val="Heading2"/>
      </w:pPr>
      <w:r>
        <w:t>Units</w:t>
      </w:r>
    </w:p>
    <w:p w14:paraId="4F939710" w14:textId="1FF5C3EA" w:rsidR="009303D9" w:rsidRPr="005B520E" w:rsidRDefault="009303D9" w:rsidP="00E7596C">
      <w:pPr>
        <w:pStyle w:val="bulletlist"/>
      </w:pPr>
      <w:r w:rsidRPr="005B520E">
        <w:t xml:space="preserve">Use </w:t>
      </w:r>
    </w:p>
    <w:p w14:paraId="6C172391" w14:textId="32699BC9" w:rsidR="009303D9" w:rsidRPr="005B520E" w:rsidRDefault="009303D9" w:rsidP="00E7596C">
      <w:pPr>
        <w:pStyle w:val="bulletlist"/>
      </w:pPr>
      <w:r w:rsidRPr="005B520E">
        <w:t xml:space="preserve">Avoid </w:t>
      </w:r>
    </w:p>
    <w:p w14:paraId="4EBC5AF3" w14:textId="188A3534" w:rsidR="009303D9" w:rsidRPr="005B520E" w:rsidRDefault="009303D9" w:rsidP="00E7596C">
      <w:pPr>
        <w:pStyle w:val="bulletlist"/>
      </w:pPr>
      <w:r w:rsidRPr="005B520E">
        <w:t xml:space="preserve">Do </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0927D4CD" w:rsidR="009303D9" w:rsidRPr="005B520E" w:rsidRDefault="009303D9" w:rsidP="00E7596C">
      <w:pPr>
        <w:pStyle w:val="bulletlist"/>
      </w:pPr>
      <w:r w:rsidRPr="005B520E">
        <w:t xml:space="preserve">Use </w:t>
      </w:r>
    </w:p>
    <w:p w14:paraId="7E54C8D6" w14:textId="77777777" w:rsidR="009303D9" w:rsidRPr="005B520E" w:rsidRDefault="009303D9" w:rsidP="00ED0149">
      <w:pPr>
        <w:pStyle w:val="Heading2"/>
      </w:pPr>
      <w:r w:rsidRPr="005B520E">
        <w:lastRenderedPageBreak/>
        <w:t>Equations</w:t>
      </w:r>
    </w:p>
    <w:p w14:paraId="15A9AFAF" w14:textId="581B65D5" w:rsidR="009303D9" w:rsidRPr="005B520E" w:rsidRDefault="009303D9" w:rsidP="00E7596C">
      <w:pPr>
        <w:pStyle w:val="BodyText"/>
      </w:pPr>
      <w:r w:rsidRPr="005B520E">
        <w:t xml:space="preserve">The </w:t>
      </w:r>
    </w:p>
    <w:p w14:paraId="29C57C75" w14:textId="6A36F7F8" w:rsidR="009303D9" w:rsidRPr="00D7522C" w:rsidRDefault="00CD5AA3" w:rsidP="00E7596C">
      <w:pPr>
        <w:pStyle w:val="BodyText"/>
        <w:rPr>
          <w:lang w:val="en-US"/>
        </w:rPr>
      </w:pPr>
      <w:r>
        <w:t>E</w:t>
      </w:r>
      <w:r w:rsidR="009303D9" w:rsidRPr="005B520E">
        <w:t>quations</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59D3E645" w:rsidR="009303D9" w:rsidRDefault="009303D9" w:rsidP="00E7596C">
      <w:pPr>
        <w:pStyle w:val="BodyText"/>
      </w:pPr>
    </w:p>
    <w:p w14:paraId="7B7ADA1E" w14:textId="77777777" w:rsidR="009303D9" w:rsidRDefault="009303D9" w:rsidP="00ED0149">
      <w:pPr>
        <w:pStyle w:val="Heading2"/>
      </w:pPr>
      <w:r>
        <w:t>Some Common Mistakes</w:t>
      </w:r>
    </w:p>
    <w:p w14:paraId="330EB29A" w14:textId="3135C49A" w:rsidR="009303D9" w:rsidRPr="005B520E" w:rsidRDefault="009303D9" w:rsidP="00E7596C">
      <w:pPr>
        <w:pStyle w:val="bulletlist"/>
      </w:pPr>
      <w:r w:rsidRPr="005B520E">
        <w:t xml:space="preserve">The </w:t>
      </w:r>
    </w:p>
    <w:p w14:paraId="55E6819B" w14:textId="76C4121F" w:rsidR="009303D9" w:rsidRPr="005B520E" w:rsidRDefault="009303D9" w:rsidP="00E7596C">
      <w:pPr>
        <w:pStyle w:val="bulletlist"/>
      </w:pPr>
      <w:r w:rsidRPr="005B520E">
        <w:t xml:space="preserve">The </w:t>
      </w:r>
    </w:p>
    <w:p w14:paraId="0706F1FA" w14:textId="5AF828B8" w:rsidR="009303D9" w:rsidRPr="005B520E" w:rsidRDefault="009303D9" w:rsidP="00E7596C">
      <w:pPr>
        <w:pStyle w:val="bulletlist"/>
      </w:pPr>
      <w:r w:rsidRPr="005B520E">
        <w:t xml:space="preserve">In </w:t>
      </w:r>
    </w:p>
    <w:p w14:paraId="307DAF0E" w14:textId="7D3F059D" w:rsidR="009303D9" w:rsidRPr="005B520E" w:rsidRDefault="009303D9" w:rsidP="00E7596C">
      <w:pPr>
        <w:pStyle w:val="bulletlist"/>
      </w:pPr>
      <w:r w:rsidRPr="005B520E">
        <w:t xml:space="preserve">A </w:t>
      </w:r>
    </w:p>
    <w:p w14:paraId="60B17E81" w14:textId="75C75204" w:rsidR="009303D9" w:rsidRPr="005B520E" w:rsidRDefault="009303D9" w:rsidP="00E7596C">
      <w:pPr>
        <w:pStyle w:val="bulletlist"/>
      </w:pPr>
      <w:r w:rsidRPr="005B520E">
        <w:t>Do</w:t>
      </w:r>
    </w:p>
    <w:p w14:paraId="144F1393" w14:textId="7AA25890" w:rsidR="009303D9" w:rsidRPr="005B520E" w:rsidRDefault="009303D9" w:rsidP="00E7596C">
      <w:pPr>
        <w:pStyle w:val="bulletlist"/>
      </w:pPr>
      <w:r w:rsidRPr="005B520E">
        <w:t xml:space="preserve">In </w:t>
      </w:r>
    </w:p>
    <w:p w14:paraId="38AEB9C8" w14:textId="412C88EB" w:rsidR="009303D9" w:rsidRPr="005B520E" w:rsidRDefault="009303D9" w:rsidP="00E7596C">
      <w:pPr>
        <w:pStyle w:val="bulletlist"/>
      </w:pPr>
      <w:r w:rsidRPr="005B520E">
        <w:t>Be</w:t>
      </w:r>
    </w:p>
    <w:p w14:paraId="2219FD28" w14:textId="648D7BE8" w:rsidR="009303D9" w:rsidRPr="005B520E" w:rsidRDefault="009303D9" w:rsidP="00E7596C">
      <w:pPr>
        <w:pStyle w:val="bulletlist"/>
      </w:pPr>
      <w:r w:rsidRPr="005B520E">
        <w:t>Do</w:t>
      </w:r>
    </w:p>
    <w:p w14:paraId="5A11B6A7" w14:textId="22D759A3" w:rsidR="009303D9" w:rsidRPr="005B520E" w:rsidRDefault="009303D9" w:rsidP="00E7596C">
      <w:pPr>
        <w:pStyle w:val="bulletlist"/>
      </w:pPr>
      <w:r w:rsidRPr="005B520E">
        <w:t xml:space="preserve">The </w:t>
      </w:r>
    </w:p>
    <w:p w14:paraId="74991DAD" w14:textId="3A967A56" w:rsidR="009303D9" w:rsidRPr="005B520E" w:rsidRDefault="009303D9" w:rsidP="00E7596C">
      <w:pPr>
        <w:pStyle w:val="bulletlist"/>
      </w:pPr>
      <w:r w:rsidRPr="005B520E">
        <w:t>There</w:t>
      </w:r>
    </w:p>
    <w:p w14:paraId="31145D1A" w14:textId="39E010F5" w:rsidR="009303D9" w:rsidRPr="005B520E" w:rsidRDefault="009303D9" w:rsidP="00E7596C">
      <w:pPr>
        <w:pStyle w:val="bulletlist"/>
      </w:pPr>
      <w:r w:rsidRPr="005B520E">
        <w:t xml:space="preserve">The </w:t>
      </w:r>
    </w:p>
    <w:p w14:paraId="75446D9B" w14:textId="7A006403" w:rsidR="009303D9" w:rsidRPr="005B520E" w:rsidRDefault="009303D9" w:rsidP="00E7596C">
      <w:pPr>
        <w:pStyle w:val="BodyText"/>
      </w:pPr>
    </w:p>
    <w:p w14:paraId="5D2DD83B" w14:textId="77777777" w:rsidR="009303D9" w:rsidRDefault="009303D9" w:rsidP="006B6B66">
      <w:pPr>
        <w:pStyle w:val="Heading1"/>
      </w:pPr>
      <w:r>
        <w:t xml:space="preserve">Using the </w:t>
      </w:r>
      <w:r w:rsidRPr="005B520E">
        <w:t>Template</w:t>
      </w:r>
    </w:p>
    <w:p w14:paraId="42CD3244" w14:textId="63F74711" w:rsidR="009303D9" w:rsidRPr="005B520E" w:rsidRDefault="009303D9" w:rsidP="00E7596C">
      <w:pPr>
        <w:pStyle w:val="BodyText"/>
      </w:pPr>
      <w:r w:rsidRPr="005B520E">
        <w:t xml:space="preserve">After </w:t>
      </w:r>
    </w:p>
    <w:p w14:paraId="550E2495" w14:textId="77777777" w:rsidR="009303D9" w:rsidRDefault="009303D9" w:rsidP="00ED0149">
      <w:pPr>
        <w:pStyle w:val="Heading2"/>
      </w:pPr>
      <w:r w:rsidRPr="005B520E">
        <w:t>Authors</w:t>
      </w:r>
      <w:r>
        <w:t xml:space="preserve"> and Affiliations</w:t>
      </w:r>
    </w:p>
    <w:p w14:paraId="1A9E45B8" w14:textId="206E3CA2" w:rsidR="009303D9" w:rsidRPr="005B520E" w:rsidRDefault="009303D9" w:rsidP="00E7596C">
      <w:pPr>
        <w:pStyle w:val="BodyText"/>
      </w:pPr>
      <w:r w:rsidRPr="0056610F">
        <w:rPr>
          <w:b/>
        </w:rPr>
        <w:t xml:space="preserve">The </w:t>
      </w:r>
    </w:p>
    <w:p w14:paraId="44E5524D" w14:textId="4018C414" w:rsidR="002850E3" w:rsidRDefault="002850E3" w:rsidP="00794804">
      <w:pPr>
        <w:pStyle w:val="Heading3"/>
      </w:pPr>
      <w:r>
        <w:t xml:space="preserve">For </w:t>
      </w:r>
    </w:p>
    <w:p w14:paraId="2C931F21" w14:textId="11271A12" w:rsidR="009303D9" w:rsidRPr="005B520E" w:rsidRDefault="009303D9" w:rsidP="00794804">
      <w:pPr>
        <w:pStyle w:val="Heading3"/>
      </w:pPr>
      <w:r w:rsidRPr="005B520E">
        <w:t xml:space="preserve">For </w:t>
      </w:r>
    </w:p>
    <w:p w14:paraId="231DEF96" w14:textId="241FE01C" w:rsidR="009303D9" w:rsidRPr="005B520E" w:rsidRDefault="009303D9" w:rsidP="00794804">
      <w:pPr>
        <w:pStyle w:val="Heading4"/>
      </w:pPr>
      <w:r w:rsidRPr="00794804">
        <w:t>Selection</w:t>
      </w:r>
      <w:r w:rsidRPr="005B520E">
        <w:t xml:space="preserve">: </w:t>
      </w:r>
    </w:p>
    <w:p w14:paraId="4E7D029E" w14:textId="75E55528" w:rsidR="009303D9" w:rsidRPr="005B520E" w:rsidRDefault="009303D9" w:rsidP="00794804">
      <w:pPr>
        <w:pStyle w:val="Heading4"/>
      </w:pPr>
      <w:r>
        <w:t>Change number of columns:</w:t>
      </w:r>
      <w:r w:rsidRPr="005B520E">
        <w:t xml:space="preserve"> </w:t>
      </w:r>
    </w:p>
    <w:p w14:paraId="2CDA38EC" w14:textId="7A00C834" w:rsidR="007D6232" w:rsidRDefault="009303D9" w:rsidP="007D6232">
      <w:pPr>
        <w:pStyle w:val="Heading4"/>
        <w:rPr>
          <w:i w:val="0"/>
        </w:rPr>
      </w:pPr>
      <w:r w:rsidRPr="005B520E">
        <w:t xml:space="preserve">Deletion: </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1B7223DD" w14:textId="0B0D69A8" w:rsidR="009303D9" w:rsidRPr="005B520E" w:rsidRDefault="009303D9" w:rsidP="00E7596C">
      <w:pPr>
        <w:pStyle w:val="BodyText"/>
      </w:pPr>
    </w:p>
    <w:p w14:paraId="04D6A610" w14:textId="77777777" w:rsidR="009303D9" w:rsidRDefault="009303D9" w:rsidP="00ED0149">
      <w:pPr>
        <w:pStyle w:val="Heading2"/>
      </w:pPr>
      <w:r>
        <w:t>Figures and Tables</w:t>
      </w:r>
    </w:p>
    <w:p w14:paraId="39AD5FF2" w14:textId="1C9B01C3" w:rsidR="009303D9" w:rsidRDefault="0004781E" w:rsidP="00FA4C32">
      <w:pPr>
        <w:pStyle w:val="Heading4"/>
        <w:rPr>
          <w:i w:val="0"/>
        </w:rPr>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w:t>
      </w:r>
    </w:p>
    <w:p w14:paraId="5ADA2B69" w14:textId="77777777" w:rsidR="00CD5AA3" w:rsidRPr="00CD5AA3" w:rsidRDefault="00CD5AA3" w:rsidP="00CD5AA3"/>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EC03D00" w:rsidR="0080791D" w:rsidRPr="005B520E" w:rsidRDefault="009303D9" w:rsidP="00E7596C">
      <w:pPr>
        <w:pStyle w:val="BodyText"/>
      </w:pPr>
      <w:r w:rsidRPr="005B520E">
        <w:t xml:space="preserve">Figure Labels: </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2FF116D9" w:rsidR="00575BCA" w:rsidRDefault="00575BCA" w:rsidP="00836367">
      <w:pPr>
        <w:pStyle w:val="BodyText"/>
      </w:pPr>
    </w:p>
    <w:p w14:paraId="21523B97" w14:textId="77777777" w:rsidR="009303D9" w:rsidRDefault="009303D9" w:rsidP="00A059B3">
      <w:pPr>
        <w:pStyle w:val="Heading5"/>
      </w:pPr>
      <w:r w:rsidRPr="005B520E">
        <w:lastRenderedPageBreak/>
        <w:t>References</w:t>
      </w:r>
    </w:p>
    <w:p w14:paraId="144D91D7" w14:textId="77777777" w:rsidR="009303D9" w:rsidRPr="005B520E" w:rsidRDefault="009303D9"/>
    <w:p w14:paraId="4EF2B8B8" w14:textId="0246D3CA" w:rsidR="009303D9" w:rsidRDefault="009303D9" w:rsidP="00CD5AA3">
      <w:pPr>
        <w:pStyle w:val="references"/>
        <w:autoSpaceDE w:val="0"/>
        <w:autoSpaceDN w:val="0"/>
        <w:adjustRightInd w:val="0"/>
        <w:ind w:start="17.70pt" w:hanging="17.70pt"/>
        <w:jc w:val="start"/>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7C5D4DC" w14:textId="77777777" w:rsidR="006C6B8E" w:rsidRDefault="006C6B8E" w:rsidP="001A3B3D">
      <w:r>
        <w:separator/>
      </w:r>
    </w:p>
  </w:endnote>
  <w:endnote w:type="continuationSeparator" w:id="0">
    <w:p w14:paraId="5D4D38C2" w14:textId="77777777" w:rsidR="006C6B8E" w:rsidRDefault="006C6B8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E25D93E" w14:textId="77777777" w:rsidR="006C6B8E" w:rsidRDefault="006C6B8E" w:rsidP="001A3B3D">
      <w:r>
        <w:separator/>
      </w:r>
    </w:p>
  </w:footnote>
  <w:footnote w:type="continuationSeparator" w:id="0">
    <w:p w14:paraId="11A91CAB" w14:textId="77777777" w:rsidR="006C6B8E" w:rsidRDefault="006C6B8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C6B8E"/>
    <w:rsid w:val="006F6D3D"/>
    <w:rsid w:val="00715BEA"/>
    <w:rsid w:val="00740EEA"/>
    <w:rsid w:val="00794804"/>
    <w:rsid w:val="007B33F1"/>
    <w:rsid w:val="007B6DDA"/>
    <w:rsid w:val="007C0308"/>
    <w:rsid w:val="007C2FF2"/>
    <w:rsid w:val="007D02AC"/>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CC3B3E"/>
    <w:rsid w:val="00CD5AA3"/>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174</TotalTime>
  <Pages>4</Pages>
  <Words>1664</Words>
  <Characters>9487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César Vieira</cp:lastModifiedBy>
  <cp:revision>3</cp:revision>
  <dcterms:created xsi:type="dcterms:W3CDTF">2024-07-16T13:42:00Z</dcterms:created>
  <dcterms:modified xsi:type="dcterms:W3CDTF">2026-03-17T13:51:00Z</dcterms:modified>
</cp:coreProperties>
</file>