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b w:val="0"/>
          <w:bCs w:val="0"/>
          <w:rtl w:val="0"/>
          <w:lang w:val="en-US"/>
        </w:rPr>
        <w:t>W</w:t>
      </w:r>
      <w:r>
        <w:rPr>
          <w:b w:val="0"/>
          <w:bCs w:val="0"/>
          <w:rtl w:val="0"/>
          <w:lang w:val="en-US"/>
        </w:rPr>
        <w:t>ork plan</w:t>
      </w:r>
      <w:r>
        <w:rPr>
          <w:rtl w:val="0"/>
        </w:rPr>
        <w:t xml:space="preserve"> </w:t>
      </w:r>
      <w:r>
        <w:rPr>
          <w:b w:val="0"/>
          <w:bCs w:val="0"/>
          <w:rtl w:val="0"/>
          <w:lang w:val="en-US"/>
        </w:rPr>
        <w:t>for the</w:t>
      </w:r>
      <w:r>
        <w:rPr>
          <w:rtl w:val="0"/>
        </w:rPr>
        <w:t xml:space="preserve"> </w:t>
      </w:r>
      <w:r>
        <w:rPr>
          <w:b w:val="0"/>
          <w:bCs w:val="0"/>
          <w:rtl w:val="0"/>
        </w:rPr>
        <w:t>MSc.</w:t>
      </w:r>
      <w:r>
        <w:rPr>
          <w:b w:val="0"/>
          <w:bCs w:val="0"/>
          <w:rtl w:val="0"/>
          <w:lang w:val="en-US"/>
        </w:rPr>
        <w:t xml:space="preserve"> thesis on</w:t>
      </w:r>
      <w:r>
        <w:rPr>
          <w:rtl w:val="0"/>
        </w:rPr>
        <w:t xml:space="preserve"> </w:t>
      </w:r>
    </w:p>
    <w:p>
      <w:pPr>
        <w:pStyle w:val="Title"/>
        <w:bidi w:val="0"/>
      </w:pPr>
      <w:r>
        <w:rPr>
          <w:rtl w:val="0"/>
        </w:rPr>
        <w:t xml:space="preserve">Offspring simulation for plant breeding </w:t>
      </w:r>
    </w:p>
    <w:p>
      <w:pPr>
        <w:pStyle w:val="Title"/>
        <w:bidi w:val="0"/>
        <w:rPr>
          <w:b w:val="0"/>
          <w:bCs w:val="0"/>
        </w:rPr>
      </w:pPr>
      <w:r>
        <w:rPr>
          <w:b w:val="0"/>
          <w:bCs w:val="0"/>
          <w:rtl w:val="0"/>
          <w:lang w:val="en-US"/>
        </w:rPr>
        <w:t>in cooperation</w:t>
      </w:r>
      <w:r>
        <w:rPr>
          <w:rtl w:val="0"/>
        </w:rPr>
        <w:t xml:space="preserve"> </w:t>
      </w:r>
      <w:r>
        <w:rPr>
          <w:b w:val="0"/>
          <w:bCs w:val="0"/>
          <w:rtl w:val="0"/>
          <w:lang w:val="en-US"/>
        </w:rPr>
        <w:t xml:space="preserve">between </w:t>
      </w:r>
    </w:p>
    <w:p>
      <w:pPr>
        <w:pStyle w:val="Title"/>
        <w:bidi w:val="0"/>
      </w:pPr>
      <w:r>
        <w:rPr>
          <w:b w:val="0"/>
          <w:bCs w:val="0"/>
          <w:rtl w:val="0"/>
          <w:lang w:val="en-US"/>
        </w:rPr>
        <w:t>Dr. Baumdicker and Computomics</w:t>
      </w:r>
      <w:r>
        <w:rPr>
          <w:rtl w:val="0"/>
        </w:rPr>
        <w:t xml:space="preserve"> </w:t>
      </w:r>
    </w:p>
    <w:p>
      <w:pPr>
        <w:pStyle w:val="Title"/>
        <w:tabs>
          <w:tab w:val="left" w:pos="1300"/>
          <w:tab w:val="left" w:pos="2600"/>
          <w:tab w:val="left" w:pos="3900"/>
          <w:tab w:val="left" w:pos="5200"/>
          <w:tab w:val="left" w:pos="6500"/>
          <w:tab w:val="left" w:pos="7800"/>
        </w:tabs>
        <w:jc w:val="left"/>
      </w:pPr>
    </w:p>
    <w:p>
      <w:pPr>
        <w:pStyle w:val="Title"/>
        <w:tabs>
          <w:tab w:val="left" w:pos="1300"/>
          <w:tab w:val="left" w:pos="2600"/>
          <w:tab w:val="left" w:pos="3900"/>
          <w:tab w:val="left" w:pos="5200"/>
          <w:tab w:val="left" w:pos="6500"/>
          <w:tab w:val="left" w:pos="7800"/>
        </w:tabs>
        <w:jc w:val="left"/>
      </w:pPr>
    </w:p>
    <w:p>
      <w:pPr>
        <w:pStyle w:val="Title"/>
        <w:tabs>
          <w:tab w:val="left" w:pos="1300"/>
          <w:tab w:val="left" w:pos="2600"/>
          <w:tab w:val="left" w:pos="3900"/>
          <w:tab w:val="left" w:pos="5200"/>
          <w:tab w:val="left" w:pos="6500"/>
          <w:tab w:val="left" w:pos="7800"/>
        </w:tabs>
        <w:jc w:val="left"/>
      </w:pPr>
      <w:r>
        <w:rPr>
          <w:rtl w:val="0"/>
          <w:lang w:val="en-US"/>
        </w:rPr>
        <w:t>1. Objective</w:t>
      </w:r>
    </w:p>
    <w:p>
      <w:pPr>
        <w:pStyle w:val="Body"/>
        <w:bidi w:val="0"/>
      </w:pPr>
      <w:r>
        <w:rPr>
          <w:rtl w:val="0"/>
        </w:rPr>
        <w:t xml:space="preserve">The main goal of the project is to develop a new method for offspring simulation that must be capable to </w:t>
      </w:r>
      <w:r>
        <w:rPr>
          <w:rtl w:val="0"/>
        </w:rPr>
        <w:t>simulate</w:t>
      </w:r>
      <w:r>
        <w:rPr>
          <w:rtl w:val="0"/>
        </w:rPr>
        <w:t xml:space="preserve"> effectively the development of plant breeding populations across </w:t>
      </w:r>
      <w:r>
        <w:rPr>
          <w:rtl w:val="0"/>
        </w:rPr>
        <w:t>a wide range of mating designs and selection strategies</w:t>
      </w:r>
      <w:r>
        <w:rPr>
          <w:rtl w:val="0"/>
        </w:rPr>
        <w:t xml:space="preserve"> for major crop species, including maize and sunflower. This includes the simulation of genetic variation based on species-specific </w:t>
      </w:r>
      <w:r>
        <w:rPr>
          <w:rtl w:val="0"/>
          <w:lang w:val="pt-PT"/>
        </w:rPr>
        <w:t>meiosis</w:t>
      </w:r>
      <w:r>
        <w:rPr>
          <w:rtl w:val="0"/>
        </w:rPr>
        <w:t>-related</w:t>
      </w:r>
      <w:r>
        <w:rPr>
          <w:rtl w:val="0"/>
        </w:rPr>
        <w:t xml:space="preserve"> </w:t>
      </w:r>
      <w:r>
        <w:rPr>
          <w:rtl w:val="0"/>
        </w:rPr>
        <w:t xml:space="preserve">parameters, the prediction of the phenotypic variation for traits of interest in agriculture based on the simulated genetic variation, and the validation of both simulated genotypes and phenotypes with publicly available data and population genetics theory. In addition, the method will be tested in its capacity to unlock new strategies to advance genetic gain in breeding programs. </w:t>
      </w:r>
    </w:p>
    <w:p>
      <w:pPr>
        <w:pStyle w:val="Title"/>
        <w:tabs>
          <w:tab w:val="left" w:pos="1300"/>
          <w:tab w:val="left" w:pos="2600"/>
          <w:tab w:val="left" w:pos="3900"/>
          <w:tab w:val="left" w:pos="5200"/>
          <w:tab w:val="left" w:pos="6500"/>
          <w:tab w:val="left" w:pos="7800"/>
        </w:tabs>
        <w:jc w:val="left"/>
      </w:pPr>
      <w:r>
        <w:rPr>
          <w:rtl w:val="0"/>
          <w:lang w:val="en-US"/>
        </w:rPr>
        <w:t>2. Background</w:t>
      </w:r>
    </w:p>
    <w:p>
      <w:pPr>
        <w:pStyle w:val="Body"/>
        <w:bidi w:val="0"/>
      </w:pPr>
      <w:r>
        <w:rPr>
          <w:rtl w:val="0"/>
        </w:rPr>
        <w:t>While r</w:t>
      </w:r>
      <w:r>
        <w:rPr>
          <w:rtl w:val="0"/>
        </w:rPr>
        <w:t>ea</w:t>
      </w:r>
      <w:r>
        <w:rPr>
          <w:rtl w:val="0"/>
        </w:rPr>
        <w:t xml:space="preserve">l plant </w:t>
      </w:r>
      <w:r>
        <w:rPr>
          <w:rtl w:val="0"/>
        </w:rPr>
        <w:t xml:space="preserve">breeding programs </w:t>
      </w:r>
      <w:r>
        <w:rPr>
          <w:rtl w:val="0"/>
        </w:rPr>
        <w:t xml:space="preserve">demand a high-effort in </w:t>
      </w:r>
      <w:r>
        <w:rPr>
          <w:rtl w:val="0"/>
        </w:rPr>
        <w:t>time and resources</w:t>
      </w:r>
      <w:r>
        <w:rPr>
          <w:rtl w:val="0"/>
        </w:rPr>
        <w:t xml:space="preserve">, </w:t>
      </w:r>
      <w:r>
        <w:rPr>
          <w:rtl w:val="0"/>
        </w:rPr>
        <w:t xml:space="preserve"> </w:t>
      </w:r>
      <w:r>
        <w:rPr>
          <w:rtl w:val="0"/>
        </w:rPr>
        <w:t>the l</w:t>
      </w:r>
      <w:r>
        <w:rPr>
          <w:rtl w:val="0"/>
        </w:rPr>
        <w:t xml:space="preserve">arge-scale field-testing </w:t>
      </w:r>
      <w:r>
        <w:rPr>
          <w:rtl w:val="0"/>
        </w:rPr>
        <w:t>needed to develop new</w:t>
      </w:r>
      <w:r>
        <w:rPr>
          <w:rtl w:val="0"/>
        </w:rPr>
        <w:t xml:space="preserve"> breeding strategies is </w:t>
      </w:r>
      <w:r>
        <w:rPr>
          <w:rtl w:val="0"/>
        </w:rPr>
        <w:t xml:space="preserve">commonly </w:t>
      </w:r>
      <w:r>
        <w:rPr>
          <w:rtl w:val="0"/>
        </w:rPr>
        <w:t>impractical</w:t>
      </w:r>
      <w:r>
        <w:rPr>
          <w:rtl w:val="0"/>
        </w:rPr>
        <w:t>, unaffordable,</w:t>
      </w:r>
      <w:r>
        <w:rPr>
          <w:rtl w:val="0"/>
        </w:rPr>
        <w:t xml:space="preserve"> or </w:t>
      </w:r>
      <w:r>
        <w:rPr>
          <w:rtl w:val="0"/>
        </w:rPr>
        <w:t xml:space="preserve">nearly </w:t>
      </w:r>
      <w:r>
        <w:rPr>
          <w:rtl w:val="0"/>
          <w:lang w:val="fr-FR"/>
        </w:rPr>
        <w:t>impossible</w:t>
      </w:r>
      <w:r>
        <w:rPr>
          <w:rtl w:val="0"/>
        </w:rPr>
        <w:t xml:space="preserve"> to perform by seed companies. Therefore, </w:t>
      </w:r>
      <w:r>
        <w:rPr>
          <w:rtl w:val="0"/>
        </w:rPr>
        <w:t>simulation tools offer a</w:t>
      </w:r>
      <w:r>
        <w:rPr>
          <w:rtl w:val="0"/>
        </w:rPr>
        <w:t>n efficient and affordable</w:t>
      </w:r>
      <w:r>
        <w:rPr>
          <w:rtl w:val="0"/>
        </w:rPr>
        <w:t xml:space="preserve"> </w:t>
      </w:r>
      <w:r>
        <w:rPr>
          <w:rtl w:val="0"/>
        </w:rPr>
        <w:t>alternative</w:t>
      </w:r>
      <w:r>
        <w:rPr>
          <w:rtl w:val="0"/>
        </w:rPr>
        <w:t xml:space="preserve"> to design </w:t>
      </w:r>
      <w:r>
        <w:rPr>
          <w:rtl w:val="0"/>
        </w:rPr>
        <w:t>new breeding strategies as well</w:t>
      </w:r>
      <w:r>
        <w:rPr>
          <w:rtl w:val="0"/>
        </w:rPr>
        <w:t xml:space="preserve"> </w:t>
      </w:r>
      <w:r>
        <w:rPr>
          <w:rtl w:val="0"/>
        </w:rPr>
        <w:t xml:space="preserve">as to evaluate </w:t>
      </w:r>
      <w:r>
        <w:rPr>
          <w:rtl w:val="0"/>
        </w:rPr>
        <w:t>existing programs.</w:t>
      </w:r>
      <w:r>
        <w:rPr>
          <w:rtl w:val="0"/>
        </w:rPr>
        <w:t xml:space="preserve"> </w:t>
      </w:r>
    </w:p>
    <w:p>
      <w:pPr>
        <w:pStyle w:val="Body"/>
        <w:bidi w:val="0"/>
      </w:pPr>
      <w:r>
        <w:rPr>
          <w:rtl w:val="0"/>
        </w:rPr>
        <w:t>Many software</w:t>
      </w:r>
      <w:r>
        <w:rPr>
          <w:rtl w:val="0"/>
        </w:rPr>
        <w:t>s</w:t>
      </w:r>
      <w:r>
        <w:rPr>
          <w:rtl w:val="0"/>
        </w:rPr>
        <w:t xml:space="preserve"> for plant breeding simulations are currently available</w:t>
      </w:r>
      <w:r>
        <w:rPr>
          <w:rtl w:val="0"/>
        </w:rPr>
        <w:t xml:space="preserve">: </w:t>
      </w:r>
      <w:r>
        <w:rPr>
          <w:rtl w:val="0"/>
        </w:rPr>
        <w:t>Plabsoft</w:t>
      </w:r>
      <w:r>
        <w:rPr>
          <w:rtl w:val="0"/>
        </w:rPr>
        <w:t xml:space="preserve">, </w:t>
      </w:r>
      <w:r>
        <w:rPr>
          <w:rtl w:val="0"/>
        </w:rPr>
        <w:t>AlphaSimR</w:t>
      </w:r>
      <w:r>
        <w:rPr>
          <w:rtl w:val="0"/>
        </w:rPr>
        <w:t xml:space="preserve">, </w:t>
      </w:r>
      <w:r>
        <w:rPr>
          <w:rtl w:val="0"/>
          <w:lang w:val="pt-PT"/>
        </w:rPr>
        <w:t>MoBPS</w:t>
      </w:r>
      <w:r>
        <w:rPr>
          <w:rtl w:val="0"/>
        </w:rPr>
        <w:t xml:space="preserve">, </w:t>
      </w:r>
      <w:r>
        <w:rPr>
          <w:rtl w:val="0"/>
          <w:lang w:val="de-DE"/>
        </w:rPr>
        <w:t>genomicSimulation</w:t>
      </w:r>
      <w:r>
        <w:rPr>
          <w:rtl w:val="0"/>
        </w:rPr>
        <w:t xml:space="preserve">, </w:t>
      </w:r>
      <w:r>
        <w:rPr>
          <w:rtl w:val="0"/>
        </w:rPr>
        <w:t>simcross</w:t>
      </w:r>
      <w:r>
        <w:rPr>
          <w:rtl w:val="0"/>
        </w:rPr>
        <w:t xml:space="preserve">, </w:t>
      </w:r>
      <w:r>
        <w:rPr>
          <w:rtl w:val="0"/>
          <w:lang w:val="nl-NL"/>
        </w:rPr>
        <w:t>OffspringSimulator</w:t>
      </w:r>
      <w:r>
        <w:rPr>
          <w:rtl w:val="0"/>
        </w:rPr>
        <w:t xml:space="preserve">, and </w:t>
      </w:r>
      <w:r>
        <w:rPr>
          <w:rtl w:val="0"/>
        </w:rPr>
        <w:t>XSim</w:t>
      </w:r>
      <w:r>
        <w:rPr>
          <w:rtl w:val="0"/>
        </w:rPr>
        <w:t>. Although the mentioned programs present limitations in terms of flexibility to simulate different breeding scenarios, accuracy in the simulation</w:t>
      </w:r>
      <w:r>
        <w:rPr>
          <w:rtl w:val="0"/>
        </w:rPr>
        <w:t xml:space="preserve"> </w:t>
      </w:r>
      <w:r>
        <w:rPr>
          <w:rtl w:val="0"/>
        </w:rPr>
        <w:t>of genotypes and phenotypes, or</w:t>
      </w:r>
      <w:r>
        <w:rPr>
          <w:rtl w:val="0"/>
          <w:lang w:val="fr-FR"/>
        </w:rPr>
        <w:t xml:space="preserve"> computation efficien</w:t>
      </w:r>
      <w:r>
        <w:rPr>
          <w:rtl w:val="0"/>
        </w:rPr>
        <w:t xml:space="preserve">cy, the </w:t>
      </w:r>
      <w:r>
        <w:rPr>
          <w:rtl w:val="0"/>
        </w:rPr>
        <w:t>fine-tuning</w:t>
      </w:r>
      <w:r>
        <w:rPr>
          <w:rtl w:val="0"/>
        </w:rPr>
        <w:t xml:space="preserve"> and</w:t>
      </w:r>
      <w:r>
        <w:rPr>
          <w:rtl w:val="0"/>
          <w:lang w:val="fr-FR"/>
        </w:rPr>
        <w:t xml:space="preserve"> manipulation</w:t>
      </w:r>
      <w:r>
        <w:rPr>
          <w:rtl w:val="0"/>
        </w:rPr>
        <w:t xml:space="preserve"> of their functions can still be useful to develop a new tool capable to overcome such caveats. In addition</w:t>
      </w:r>
      <w:r>
        <w:rPr>
          <w:rtl w:val="0"/>
        </w:rPr>
        <w:t xml:space="preserve">, there are </w:t>
      </w:r>
      <w:r>
        <w:rPr>
          <w:rtl w:val="0"/>
        </w:rPr>
        <w:t xml:space="preserve">available </w:t>
      </w:r>
      <w:r>
        <w:rPr>
          <w:rtl w:val="0"/>
        </w:rPr>
        <w:t>programs in the field of natural population genetics that can be explored</w:t>
      </w:r>
      <w:r>
        <w:rPr>
          <w:rtl w:val="0"/>
        </w:rPr>
        <w:t xml:space="preserve"> to increase the accuracy in the offspring simulation for plant breeding purposes</w:t>
      </w:r>
      <w:r>
        <w:rPr>
          <w:rtl w:val="0"/>
        </w:rPr>
        <w:t xml:space="preserve">. </w:t>
      </w:r>
      <w:r>
        <w:rPr>
          <w:rtl w:val="0"/>
        </w:rPr>
        <w:t>Such programs</w:t>
      </w:r>
      <w:r>
        <w:rPr>
          <w:rtl w:val="0"/>
        </w:rPr>
        <w:t xml:space="preserve"> utilize models either based on coalescent theory</w:t>
      </w:r>
      <w:r>
        <w:rPr>
          <w:rtl w:val="0"/>
        </w:rPr>
        <w:t xml:space="preserve"> </w:t>
      </w:r>
      <w:r>
        <w:rPr>
          <w:rtl w:val="0"/>
        </w:rPr>
        <w:t xml:space="preserve">or the so-called forward-in-time approaches. </w:t>
      </w:r>
      <w:r>
        <w:rPr>
          <w:rtl w:val="0"/>
        </w:rPr>
        <w:t xml:space="preserve">Some popular software in population genetics </w:t>
      </w:r>
      <w:r>
        <w:rPr>
          <w:rtl w:val="0"/>
          <w:lang w:val="it-IT"/>
        </w:rPr>
        <w:t>are:</w:t>
      </w:r>
      <w:r>
        <w:rPr>
          <w:rtl w:val="0"/>
        </w:rPr>
        <w:t xml:space="preserve"> </w:t>
      </w:r>
      <w:r>
        <w:rPr>
          <w:rtl w:val="0"/>
        </w:rPr>
        <w:t>simuPOP</w:t>
      </w:r>
      <w:r>
        <w:rPr>
          <w:rtl w:val="0"/>
        </w:rPr>
        <w:t xml:space="preserve">, </w:t>
      </w:r>
      <w:r>
        <w:rPr>
          <w:rtl w:val="0"/>
          <w:lang w:val="de-DE"/>
        </w:rPr>
        <w:t>FREGENE</w:t>
      </w:r>
      <w:r>
        <w:rPr>
          <w:rtl w:val="0"/>
        </w:rPr>
        <w:t xml:space="preserve">, </w:t>
      </w:r>
      <w:r>
        <w:rPr>
          <w:rtl w:val="0"/>
          <w:lang w:val="pt-PT"/>
        </w:rPr>
        <w:t>AdmixSim</w:t>
      </w:r>
      <w:r>
        <w:rPr>
          <w:rtl w:val="0"/>
        </w:rPr>
        <w:t xml:space="preserve">, and </w:t>
      </w:r>
      <w:r>
        <w:rPr>
          <w:rtl w:val="0"/>
        </w:rPr>
        <w:t>stdpopsim</w:t>
      </w:r>
      <w:r>
        <w:rPr>
          <w:rtl w:val="0"/>
        </w:rPr>
        <w:t xml:space="preserve">. The later is a public library maintained by the population genetics research community world-wide that aims to establish </w:t>
      </w:r>
      <w:r>
        <w:rPr>
          <w:rtl w:val="0"/>
        </w:rPr>
        <w:t xml:space="preserve">standard benchmarks by which new tools for </w:t>
      </w:r>
      <w:r>
        <w:rPr>
          <w:rtl w:val="0"/>
        </w:rPr>
        <w:t>population genetics simulation</w:t>
      </w:r>
      <w:r>
        <w:rPr>
          <w:rtl w:val="0"/>
        </w:rPr>
        <w:t xml:space="preserve"> might be </w:t>
      </w:r>
      <w:r>
        <w:rPr>
          <w:rtl w:val="0"/>
        </w:rPr>
        <w:t>tested</w:t>
      </w:r>
      <w:r>
        <w:rPr>
          <w:rtl w:val="0"/>
        </w:rPr>
        <w:t>.</w:t>
      </w:r>
    </w:p>
    <w:p>
      <w:pPr>
        <w:pStyle w:val="Body"/>
        <w:bidi w:val="0"/>
      </w:pPr>
      <w:r>
        <w:rPr>
          <w:rtl w:val="0"/>
        </w:rPr>
        <w:t xml:space="preserve">The improvement of the </w:t>
      </w:r>
      <w:r>
        <w:rPr>
          <w:rtl w:val="0"/>
        </w:rPr>
        <w:t>existing simulation programs</w:t>
      </w:r>
      <w:r>
        <w:rPr>
          <w:rtl w:val="0"/>
        </w:rPr>
        <w:t xml:space="preserve"> and the integration of population genetics models into plant breeding pipelines, plus their respective validation with real data, have the potential to generate a new tool to effectively and efficiently simulate different breeding scenarios in order to help breeders with making accurate decisions </w:t>
      </w:r>
      <w:r>
        <w:rPr>
          <w:rtl w:val="0"/>
        </w:rPr>
        <w:t>to maximize return on investment.</w:t>
      </w:r>
    </w:p>
    <w:p>
      <w:pPr>
        <w:pStyle w:val="Title"/>
        <w:tabs>
          <w:tab w:val="left" w:pos="1300"/>
          <w:tab w:val="left" w:pos="2600"/>
          <w:tab w:val="left" w:pos="3900"/>
          <w:tab w:val="left" w:pos="5200"/>
          <w:tab w:val="left" w:pos="6500"/>
          <w:tab w:val="left" w:pos="7800"/>
        </w:tabs>
        <w:jc w:val="left"/>
      </w:pPr>
      <w:r>
        <w:rPr>
          <w:rtl w:val="0"/>
          <w:lang w:val="en-US"/>
        </w:rPr>
        <w:t>3.1 Work plan</w:t>
      </w:r>
    </w:p>
    <w:p>
      <w:pPr>
        <w:pStyle w:val="Title"/>
        <w:tabs>
          <w:tab w:val="left" w:pos="1300"/>
          <w:tab w:val="left" w:pos="2600"/>
          <w:tab w:val="left" w:pos="3900"/>
          <w:tab w:val="left" w:pos="5200"/>
          <w:tab w:val="left" w:pos="6500"/>
          <w:tab w:val="left" w:pos="7800"/>
        </w:tabs>
        <w:jc w:val="left"/>
      </w:pPr>
    </w:p>
    <w:p>
      <w:pPr>
        <w:pStyle w:val="Body"/>
        <w:bidi w:val="0"/>
      </w:pPr>
      <w:r>
        <w:rPr>
          <w:rtl w:val="0"/>
        </w:rPr>
        <w:t xml:space="preserve">The project will be organized in mutual agreement among Dr. Baumdicker, the </w:t>
      </w:r>
      <w:r>
        <w:rPr>
          <w:rtl w:val="0"/>
        </w:rPr>
        <w:t>MSc.</w:t>
      </w:r>
      <w:r>
        <w:rPr>
          <w:rtl w:val="0"/>
        </w:rPr>
        <w:t xml:space="preserve"> Student and Computomics through regular meetings. The developed software for offspring simulation plus the data generated during the project will be shared among all parties. The project will cover offspring simulation and plant breeding strategies for the crop species maize (</w:t>
      </w:r>
      <w:r>
        <w:rPr>
          <w:i w:val="1"/>
          <w:iCs w:val="1"/>
          <w:rtl w:val="0"/>
          <w:lang w:val="es-ES_tradnl"/>
        </w:rPr>
        <w:t>Zea mays</w:t>
      </w:r>
      <w:r>
        <w:rPr>
          <w:rtl w:val="0"/>
        </w:rPr>
        <w:t>) and sunflower (</w:t>
      </w:r>
      <w:r>
        <w:rPr>
          <w:i w:val="1"/>
          <w:iCs w:val="1"/>
          <w:rtl w:val="0"/>
        </w:rPr>
        <w:t>Helianthus annuus</w:t>
      </w:r>
      <w:r>
        <w:rPr>
          <w:rtl w:val="0"/>
        </w:rPr>
        <w:t xml:space="preserve">). </w:t>
      </w:r>
      <w:r>
        <w:rPr>
          <w:rtl w:val="0"/>
        </w:rPr>
        <w:t xml:space="preserve">The </w:t>
      </w:r>
      <w:r>
        <w:rPr>
          <w:rtl w:val="0"/>
        </w:rPr>
        <w:t>related work</w:t>
      </w:r>
      <w:r>
        <w:rPr>
          <w:rtl w:val="0"/>
        </w:rPr>
        <w:t xml:space="preserve"> </w:t>
      </w:r>
      <w:r>
        <w:rPr>
          <w:rtl w:val="0"/>
        </w:rPr>
        <w:t>will</w:t>
      </w:r>
      <w:r>
        <w:rPr>
          <w:rtl w:val="0"/>
        </w:rPr>
        <w:t xml:space="preserve"> </w:t>
      </w:r>
      <w:r>
        <w:rPr>
          <w:rtl w:val="0"/>
        </w:rPr>
        <w:t xml:space="preserve">be </w:t>
      </w:r>
      <w:r>
        <w:rPr>
          <w:rtl w:val="0"/>
        </w:rPr>
        <w:t>divided into</w:t>
      </w:r>
      <w:r>
        <w:rPr>
          <w:rtl w:val="0"/>
        </w:rPr>
        <w:t xml:space="preserve"> sections</w:t>
      </w:r>
      <w:r>
        <w:rPr>
          <w:rtl w:val="0"/>
        </w:rPr>
        <w:t>, each of which will be managed by a project partner</w:t>
      </w:r>
      <w:r>
        <w:rPr>
          <w:rtl w:val="0"/>
        </w:rPr>
        <w:t xml:space="preserve"> under the following structure:</w:t>
      </w:r>
      <w:r>
        <w:rPr>
          <w:rtl w:val="0"/>
        </w:rPr>
        <w:t xml:space="preserve"> </w:t>
      </w:r>
    </w:p>
    <w:p>
      <w:pPr>
        <w:pStyle w:val="Body"/>
        <w:numPr>
          <w:ilvl w:val="0"/>
          <w:numId w:val="2"/>
        </w:numPr>
        <w:rPr>
          <w:b w:val="1"/>
          <w:bCs w:val="1"/>
          <w:lang w:val="en-US"/>
        </w:rPr>
      </w:pPr>
      <w:r>
        <w:rPr>
          <w:b w:val="1"/>
          <w:bCs w:val="1"/>
          <w:rtl w:val="0"/>
          <w:lang w:val="en-US"/>
        </w:rPr>
        <w:t>Data collection and processing:</w:t>
      </w:r>
    </w:p>
    <w:p>
      <w:pPr>
        <w:pStyle w:val="Body"/>
        <w:bidi w:val="0"/>
      </w:pPr>
      <w:r>
        <w:rPr>
          <w:rtl w:val="0"/>
        </w:rPr>
        <w:t xml:space="preserve">Computomics will provide both genotypic and phenotypic publicly available data sources to develop and validate the method. Dr. Baumdicker and the </w:t>
      </w:r>
      <w:r>
        <w:rPr>
          <w:rtl w:val="0"/>
        </w:rPr>
        <w:t>MSc.</w:t>
      </w:r>
      <w:r>
        <w:rPr>
          <w:rtl w:val="0"/>
        </w:rPr>
        <w:t xml:space="preserve"> Student will curate and process the collected data for its proper use.</w:t>
      </w:r>
    </w:p>
    <w:p>
      <w:pPr>
        <w:pStyle w:val="Body"/>
        <w:numPr>
          <w:ilvl w:val="0"/>
          <w:numId w:val="2"/>
        </w:numPr>
        <w:rPr>
          <w:b w:val="1"/>
          <w:bCs w:val="1"/>
          <w:lang w:val="en-US"/>
        </w:rPr>
      </w:pPr>
      <w:r>
        <w:rPr>
          <w:b w:val="1"/>
          <w:bCs w:val="1"/>
          <w:rtl w:val="0"/>
          <w:lang w:val="en-US"/>
        </w:rPr>
        <w:t>Testing available software</w:t>
      </w:r>
      <w:r>
        <w:rPr>
          <w:b w:val="1"/>
          <w:bCs w:val="1"/>
          <w:rtl w:val="0"/>
          <w:lang w:val="en-US"/>
        </w:rPr>
        <w:t>:</w:t>
      </w:r>
    </w:p>
    <w:p>
      <w:pPr>
        <w:pStyle w:val="Body"/>
        <w:bidi w:val="0"/>
      </w:pPr>
      <w:r>
        <w:rPr>
          <w:rtl w:val="0"/>
        </w:rPr>
        <w:t xml:space="preserve">Computomics will test the plant breeding-related software mentioned above while Dr. Baumdicker will test population genetics models and programs, including </w:t>
      </w:r>
      <w:r>
        <w:rPr>
          <w:rtl w:val="0"/>
        </w:rPr>
        <w:t>stdpopsim</w:t>
      </w:r>
      <w:r>
        <w:rPr>
          <w:rtl w:val="0"/>
        </w:rPr>
        <w:t xml:space="preserve">. </w:t>
      </w:r>
    </w:p>
    <w:p>
      <w:pPr>
        <w:pStyle w:val="Body"/>
        <w:numPr>
          <w:ilvl w:val="0"/>
          <w:numId w:val="2"/>
        </w:numPr>
        <w:rPr>
          <w:b w:val="1"/>
          <w:bCs w:val="1"/>
          <w:lang w:val="en-US"/>
        </w:rPr>
      </w:pPr>
      <w:r>
        <w:rPr>
          <w:b w:val="1"/>
          <w:bCs w:val="1"/>
          <w:rtl w:val="0"/>
          <w:lang w:val="en-US"/>
        </w:rPr>
        <w:t>Genomic simulation and validation</w:t>
      </w:r>
      <w:r>
        <w:rPr>
          <w:b w:val="1"/>
          <w:bCs w:val="1"/>
          <w:rtl w:val="0"/>
          <w:lang w:val="en-US"/>
        </w:rPr>
        <w:t>:</w:t>
      </w:r>
    </w:p>
    <w:p>
      <w:pPr>
        <w:pStyle w:val="Body"/>
        <w:bidi w:val="0"/>
      </w:pPr>
      <w:r>
        <w:rPr>
          <w:rtl w:val="0"/>
        </w:rPr>
        <w:t xml:space="preserve">The </w:t>
      </w:r>
      <w:r>
        <w:rPr>
          <w:rtl w:val="0"/>
          <w:lang w:val="de-DE"/>
        </w:rPr>
        <w:t>MSc. Student</w:t>
      </w:r>
      <w:r>
        <w:rPr>
          <w:rtl w:val="0"/>
        </w:rPr>
        <w:t xml:space="preserve"> under the supervision of Dr. Baumdicker and Computomics will design and code the new simulation tool and validate it with real data. Computomics will help in providing information for meiosis parameter optimization. Dr. Baumdicker will help in the validation with population genetics theory. </w:t>
      </w:r>
    </w:p>
    <w:p>
      <w:pPr>
        <w:pStyle w:val="Body"/>
        <w:numPr>
          <w:ilvl w:val="0"/>
          <w:numId w:val="2"/>
        </w:numPr>
        <w:rPr>
          <w:b w:val="1"/>
          <w:bCs w:val="1"/>
          <w:lang w:val="en-US"/>
        </w:rPr>
      </w:pPr>
      <w:r>
        <w:rPr>
          <w:b w:val="1"/>
          <w:bCs w:val="1"/>
          <w:rtl w:val="0"/>
          <w:lang w:val="en-US"/>
        </w:rPr>
        <w:t>Phenotype</w:t>
      </w:r>
      <w:r>
        <w:rPr>
          <w:b w:val="1"/>
          <w:bCs w:val="1"/>
          <w:rtl w:val="0"/>
          <w:lang w:val="en-US"/>
        </w:rPr>
        <w:t xml:space="preserve"> simulation and validation</w:t>
      </w:r>
      <w:r>
        <w:rPr>
          <w:b w:val="1"/>
          <w:bCs w:val="1"/>
          <w:rtl w:val="0"/>
          <w:lang w:val="en-US"/>
        </w:rPr>
        <w:t>:</w:t>
      </w:r>
    </w:p>
    <w:p>
      <w:pPr>
        <w:pStyle w:val="Body"/>
        <w:bidi w:val="0"/>
      </w:pPr>
      <w:r>
        <w:rPr>
          <w:rtl w:val="0"/>
        </w:rPr>
        <w:t>Computomics will do the phenotypic prediction of the simulated genotypes and validate it with real data and discuss the approach with Dr. Baumdicker and the MSc. Student.</w:t>
      </w:r>
    </w:p>
    <w:p>
      <w:pPr>
        <w:pStyle w:val="Body"/>
        <w:numPr>
          <w:ilvl w:val="0"/>
          <w:numId w:val="2"/>
        </w:numPr>
        <w:rPr>
          <w:b w:val="1"/>
          <w:bCs w:val="1"/>
          <w:lang w:val="en-US"/>
        </w:rPr>
      </w:pPr>
      <w:r>
        <w:rPr>
          <w:b w:val="1"/>
          <w:bCs w:val="1"/>
          <w:rtl w:val="0"/>
          <w:lang w:val="en-US"/>
        </w:rPr>
        <w:t>Testing of different breeding strategies</w:t>
      </w:r>
      <w:r>
        <w:rPr>
          <w:b w:val="1"/>
          <w:bCs w:val="1"/>
          <w:rtl w:val="0"/>
          <w:lang w:val="en-US"/>
        </w:rPr>
        <w:t>:</w:t>
      </w:r>
    </w:p>
    <w:p>
      <w:pPr>
        <w:pStyle w:val="Body"/>
        <w:bidi w:val="0"/>
      </w:pPr>
      <w:r>
        <w:rPr>
          <w:rtl w:val="0"/>
        </w:rPr>
        <w:t xml:space="preserve">The </w:t>
      </w:r>
      <w:r>
        <w:rPr>
          <w:rtl w:val="0"/>
        </w:rPr>
        <w:t>MSc.</w:t>
      </w:r>
      <w:r>
        <w:rPr>
          <w:rtl w:val="0"/>
        </w:rPr>
        <w:t xml:space="preserve"> Student will </w:t>
      </w:r>
      <w:r>
        <w:rPr>
          <w:rtl w:val="0"/>
        </w:rPr>
        <w:t>simulate</w:t>
      </w:r>
      <w:r>
        <w:rPr>
          <w:rtl w:val="0"/>
        </w:rPr>
        <w:t xml:space="preserve"> different plant breeding scenarios to test the developed offspring simulation method. </w:t>
      </w:r>
      <w:r>
        <w:rPr>
          <w:rtl w:val="0"/>
        </w:rPr>
        <w:t xml:space="preserve">Computomics will </w:t>
      </w:r>
      <w:r>
        <w:rPr>
          <w:rtl w:val="0"/>
        </w:rPr>
        <w:t>provide advice in the designing of such scenarios.</w:t>
      </w:r>
    </w:p>
    <w:p>
      <w:pPr>
        <w:pStyle w:val="Body"/>
        <w:numPr>
          <w:ilvl w:val="0"/>
          <w:numId w:val="2"/>
        </w:numPr>
        <w:rPr>
          <w:b w:val="1"/>
          <w:bCs w:val="1"/>
          <w:lang w:val="en-US"/>
        </w:rPr>
      </w:pPr>
      <w:r>
        <w:rPr>
          <w:b w:val="1"/>
          <w:bCs w:val="1"/>
          <w:rtl w:val="0"/>
          <w:lang w:val="en-US"/>
        </w:rPr>
        <w:t>M</w:t>
      </w:r>
      <w:r>
        <w:rPr>
          <w:b w:val="1"/>
          <w:bCs w:val="1"/>
          <w:rtl w:val="0"/>
          <w:lang w:val="fr-FR"/>
        </w:rPr>
        <w:t>anuscript</w:t>
      </w:r>
      <w:r>
        <w:rPr>
          <w:b w:val="1"/>
          <w:bCs w:val="1"/>
          <w:rtl w:val="0"/>
          <w:lang w:val="en-US"/>
        </w:rPr>
        <w:t xml:space="preserve"> writing:</w:t>
      </w:r>
    </w:p>
    <w:p>
      <w:pPr>
        <w:pStyle w:val="Body"/>
        <w:bidi w:val="0"/>
      </w:pPr>
      <w:r>
        <w:rPr>
          <w:rtl w:val="0"/>
        </w:rPr>
        <w:t xml:space="preserve">The </w:t>
      </w:r>
      <w:r>
        <w:rPr>
          <w:rtl w:val="0"/>
        </w:rPr>
        <w:t>MSc.</w:t>
      </w:r>
      <w:r>
        <w:rPr>
          <w:rtl w:val="0"/>
        </w:rPr>
        <w:t xml:space="preserve"> Student will write the manuscript for the </w:t>
      </w:r>
      <w:r>
        <w:rPr>
          <w:rtl w:val="0"/>
        </w:rPr>
        <w:t>MSc.</w:t>
      </w:r>
      <w:r>
        <w:rPr>
          <w:rtl w:val="0"/>
        </w:rPr>
        <w:t xml:space="preserve"> thesis while Dr. Baumdicker and Computomics will help in the review process. </w:t>
      </w:r>
    </w:p>
    <w:p>
      <w:pPr>
        <w:pStyle w:val="Title"/>
        <w:tabs>
          <w:tab w:val="left" w:pos="1300"/>
          <w:tab w:val="left" w:pos="2600"/>
          <w:tab w:val="left" w:pos="3900"/>
          <w:tab w:val="left" w:pos="5200"/>
          <w:tab w:val="left" w:pos="6500"/>
          <w:tab w:val="left" w:pos="7800"/>
        </w:tabs>
        <w:jc w:val="left"/>
      </w:pPr>
      <w:r>
        <w:rPr>
          <w:rtl w:val="0"/>
          <w:lang w:val="en-US"/>
        </w:rPr>
        <w:t>3.2 Work plan schedule</w:t>
      </w: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86"/>
        <w:gridCol w:w="1376"/>
        <w:gridCol w:w="1325"/>
        <w:gridCol w:w="1333"/>
      </w:tblGrid>
      <w:tr>
        <w:tblPrEx>
          <w:shd w:val="clear" w:color="auto" w:fill="bdc0bf"/>
        </w:tblPrEx>
        <w:trPr>
          <w:trHeight w:val="245" w:hRule="atLeast"/>
          <w:tblHeader/>
        </w:trPr>
        <w:tc>
          <w:tcPr>
            <w:tcW w:type="dxa" w:w="4986"/>
            <w:vMerge w:val="restart"/>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919191"/>
            <w:tcMar>
              <w:top w:type="dxa" w:w="80"/>
              <w:left w:type="dxa" w:w="80"/>
              <w:bottom w:type="dxa" w:w="80"/>
              <w:right w:type="dxa" w:w="80"/>
            </w:tcMar>
            <w:vAlign w:val="center"/>
          </w:tcPr>
          <w:p>
            <w:pPr>
              <w:pStyle w:val="Table Style 1"/>
              <w:jc w:val="center"/>
            </w:pPr>
            <w:r>
              <w:rPr>
                <w:rFonts w:ascii="Helvetica Neue" w:hAnsi="Helvetica Neue"/>
                <w:rtl w:val="0"/>
              </w:rPr>
              <w:t>Activity</w:t>
            </w:r>
          </w:p>
        </w:tc>
        <w:tc>
          <w:tcPr>
            <w:tcW w:type="dxa" w:w="270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19191"/>
            <w:tcMar>
              <w:top w:type="dxa" w:w="80"/>
              <w:left w:type="dxa" w:w="80"/>
              <w:bottom w:type="dxa" w:w="80"/>
              <w:right w:type="dxa" w:w="80"/>
            </w:tcMar>
            <w:vAlign w:val="center"/>
          </w:tcPr>
          <w:p>
            <w:pPr>
              <w:pStyle w:val="Table Style 1"/>
              <w:jc w:val="center"/>
            </w:pPr>
            <w:r>
              <w:rPr>
                <w:rFonts w:ascii="Helvetica Neue" w:hAnsi="Helvetica Neue"/>
                <w:rtl w:val="0"/>
              </w:rPr>
              <w:t>2023</w:t>
            </w:r>
          </w:p>
        </w:tc>
        <w:tc>
          <w:tcPr>
            <w:tcW w:type="dxa" w:w="13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19191"/>
            <w:tcMar>
              <w:top w:type="dxa" w:w="80"/>
              <w:left w:type="dxa" w:w="80"/>
              <w:bottom w:type="dxa" w:w="80"/>
              <w:right w:type="dxa" w:w="80"/>
            </w:tcMar>
            <w:vAlign w:val="center"/>
          </w:tcPr>
          <w:p>
            <w:pPr>
              <w:pStyle w:val="Table Style 1"/>
              <w:jc w:val="center"/>
            </w:pPr>
            <w:r>
              <w:rPr>
                <w:rFonts w:ascii="Helvetica Neue" w:hAnsi="Helvetica Neue"/>
                <w:rtl w:val="0"/>
              </w:rPr>
              <w:t>2024</w:t>
            </w:r>
          </w:p>
        </w:tc>
      </w:tr>
      <w:tr>
        <w:tblPrEx>
          <w:shd w:val="clear" w:color="auto" w:fill="bdc0bf"/>
        </w:tblPrEx>
        <w:trPr>
          <w:trHeight w:val="245" w:hRule="atLeast"/>
          <w:tblHeader/>
        </w:trPr>
        <w:tc>
          <w:tcPr>
            <w:tcW w:type="dxa" w:w="4986"/>
            <w:vMerge w:val="continue"/>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919191"/>
          </w:tcPr>
          <w:p/>
        </w:tc>
        <w:tc>
          <w:tcPr>
            <w:tcW w:type="dxa" w:w="137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b w:val="0"/>
                <w:bCs w:val="0"/>
                <w:rtl w:val="0"/>
              </w:rPr>
              <w:t>Q3</w:t>
            </w:r>
          </w:p>
        </w:tc>
        <w:tc>
          <w:tcPr>
            <w:tcW w:type="dxa" w:w="132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b w:val="0"/>
                <w:bCs w:val="0"/>
                <w:rtl w:val="0"/>
              </w:rPr>
              <w:t>Q4</w:t>
            </w:r>
          </w:p>
        </w:tc>
        <w:tc>
          <w:tcPr>
            <w:tcW w:type="dxa" w:w="133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b w:val="0"/>
                <w:bCs w:val="0"/>
                <w:rtl w:val="0"/>
              </w:rPr>
              <w:t>Q1</w:t>
            </w:r>
          </w:p>
        </w:tc>
      </w:tr>
      <w:tr>
        <w:tblPrEx>
          <w:shd w:val="clear" w:color="auto" w:fill="auto"/>
        </w:tblPrEx>
        <w:trPr>
          <w:trHeight w:val="440" w:hRule="atLeast"/>
        </w:trPr>
        <w:tc>
          <w:tcPr>
            <w:tcW w:type="dxa" w:w="4986"/>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eeeeee"/>
            <w:tcMar>
              <w:top w:type="dxa" w:w="80"/>
              <w:left w:type="dxa" w:w="80"/>
              <w:bottom w:type="dxa" w:w="80"/>
              <w:right w:type="dxa" w:w="80"/>
            </w:tcMar>
            <w:vAlign w:val="center"/>
          </w:tcPr>
          <w:p>
            <w:pPr>
              <w:pStyle w:val="Table Style 1"/>
              <w:jc w:val="left"/>
            </w:pPr>
            <w:r>
              <w:rPr>
                <w:rFonts w:ascii="Helvetica Neue" w:hAnsi="Helvetica Neue"/>
                <w:b w:val="0"/>
                <w:bCs w:val="0"/>
                <w:outline w:val="0"/>
                <w:color w:val="5e5e5e"/>
                <w:rtl w:val="0"/>
                <w14:textFill>
                  <w14:solidFill>
                    <w14:srgbClr w14:val="5E5E5E"/>
                  </w14:solidFill>
                </w14:textFill>
              </w:rPr>
              <w:t>Organization - meetings</w:t>
            </w:r>
          </w:p>
        </w:tc>
        <w:tc>
          <w:tcPr>
            <w:tcW w:type="dxa" w:w="1376"/>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56c1fe"/>
            <w:tcMar>
              <w:top w:type="dxa" w:w="80"/>
              <w:left w:type="dxa" w:w="80"/>
              <w:bottom w:type="dxa" w:w="80"/>
              <w:right w:type="dxa" w:w="80"/>
            </w:tcMar>
            <w:vAlign w:val="center"/>
          </w:tcPr>
          <w:p/>
        </w:tc>
        <w:tc>
          <w:tcPr>
            <w:tcW w:type="dxa" w:w="132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56c1fe"/>
            <w:tcMar>
              <w:top w:type="dxa" w:w="80"/>
              <w:left w:type="dxa" w:w="80"/>
              <w:bottom w:type="dxa" w:w="80"/>
              <w:right w:type="dxa" w:w="80"/>
            </w:tcMar>
            <w:vAlign w:val="center"/>
          </w:tcPr>
          <w:p/>
        </w:tc>
        <w:tc>
          <w:tcPr>
            <w:tcW w:type="dxa" w:w="133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56c1fe"/>
            <w:tcMar>
              <w:top w:type="dxa" w:w="80"/>
              <w:left w:type="dxa" w:w="80"/>
              <w:bottom w:type="dxa" w:w="80"/>
              <w:right w:type="dxa" w:w="80"/>
            </w:tcMar>
            <w:vAlign w:val="center"/>
          </w:tcPr>
          <w:p/>
        </w:tc>
      </w:tr>
      <w:tr>
        <w:tblPrEx>
          <w:shd w:val="clear" w:color="auto" w:fill="auto"/>
        </w:tblPrEx>
        <w:trPr>
          <w:trHeight w:val="481" w:hRule="atLeast"/>
        </w:trPr>
        <w:tc>
          <w:tcPr>
            <w:tcW w:type="dxa" w:w="498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eeeeee"/>
            <w:tcMar>
              <w:top w:type="dxa" w:w="80"/>
              <w:left w:type="dxa" w:w="80"/>
              <w:bottom w:type="dxa" w:w="80"/>
              <w:right w:type="dxa" w:w="80"/>
            </w:tcMar>
            <w:vAlign w:val="center"/>
          </w:tcPr>
          <w:p>
            <w:pPr>
              <w:pStyle w:val="Table Style 1"/>
              <w:jc w:val="left"/>
            </w:pPr>
            <w:r>
              <w:rPr>
                <w:rFonts w:ascii="Helvetica Neue" w:hAnsi="Helvetica Neue"/>
                <w:b w:val="0"/>
                <w:bCs w:val="0"/>
                <w:outline w:val="0"/>
                <w:color w:val="5e5e5e"/>
                <w:rtl w:val="0"/>
                <w14:textFill>
                  <w14:solidFill>
                    <w14:srgbClr w14:val="5E5E5E"/>
                  </w14:solidFill>
                </w14:textFill>
              </w:rPr>
              <w:t xml:space="preserve">Data collection and processing </w:t>
            </w:r>
          </w:p>
        </w:tc>
        <w:tc>
          <w:tcPr>
            <w:tcW w:type="dxa" w:w="1376"/>
            <w:tcBorders>
              <w:top w:val="single" w:color="000000" w:sz="2" w:space="0" w:shadow="0" w:frame="0"/>
              <w:left w:val="single" w:color="000000" w:sz="6" w:space="0" w:shadow="0" w:frame="0"/>
              <w:bottom w:val="single" w:color="000000" w:sz="2" w:space="0" w:shadow="0" w:frame="0"/>
              <w:right w:val="single" w:color="5e5e5e" w:sz="2" w:space="0" w:shadow="0" w:frame="0"/>
            </w:tcBorders>
            <w:shd w:val="clear" w:color="auto" w:fill="56c1fe"/>
            <w:tcMar>
              <w:top w:type="dxa" w:w="80"/>
              <w:left w:type="dxa" w:w="80"/>
              <w:bottom w:type="dxa" w:w="80"/>
              <w:right w:type="dxa" w:w="80"/>
            </w:tcMar>
            <w:vAlign w:val="center"/>
          </w:tcPr>
          <w:p/>
        </w:tc>
        <w:tc>
          <w:tcPr>
            <w:tcW w:type="dxa" w:w="1324"/>
            <w:tcBorders>
              <w:top w:val="single" w:color="000000" w:sz="2" w:space="0" w:shadow="0" w:frame="0"/>
              <w:left w:val="single" w:color="5e5e5e" w:sz="2" w:space="0" w:shadow="0" w:frame="0"/>
              <w:bottom w:val="single" w:color="5e5e5e" w:sz="2" w:space="0" w:shadow="0" w:frame="0"/>
              <w:right w:val="single" w:color="000000" w:sz="2" w:space="0" w:shadow="0" w:frame="0"/>
            </w:tcBorders>
            <w:shd w:val="clear" w:color="auto" w:fill="fefffe"/>
            <w:tcMar>
              <w:top w:type="dxa" w:w="80"/>
              <w:left w:type="dxa" w:w="80"/>
              <w:bottom w:type="dxa" w:w="80"/>
              <w:right w:type="dxa" w:w="80"/>
            </w:tcMar>
            <w:vAlign w:val="center"/>
          </w:tcPr>
          <w:p/>
        </w:tc>
        <w:tc>
          <w:tcPr>
            <w:tcW w:type="dxa" w:w="1332"/>
            <w:tcBorders>
              <w:top w:val="single" w:color="000000" w:sz="2" w:space="0" w:shadow="0" w:frame="0"/>
              <w:left w:val="single" w:color="000000" w:sz="2" w:space="0" w:shadow="0" w:frame="0"/>
              <w:bottom w:val="single" w:color="000000" w:sz="2" w:space="0" w:shadow="0" w:frame="0"/>
              <w:right w:val="single" w:color="5e5e5e" w:sz="2" w:space="0" w:shadow="0" w:frame="0"/>
            </w:tcBorders>
            <w:shd w:val="clear" w:color="auto" w:fill="fefffe"/>
            <w:tcMar>
              <w:top w:type="dxa" w:w="80"/>
              <w:left w:type="dxa" w:w="80"/>
              <w:bottom w:type="dxa" w:w="80"/>
              <w:right w:type="dxa" w:w="80"/>
            </w:tcMar>
            <w:vAlign w:val="center"/>
          </w:tcPr>
          <w:p/>
        </w:tc>
      </w:tr>
      <w:tr>
        <w:tblPrEx>
          <w:shd w:val="clear" w:color="auto" w:fill="auto"/>
        </w:tblPrEx>
        <w:trPr>
          <w:trHeight w:val="481" w:hRule="atLeast"/>
        </w:trPr>
        <w:tc>
          <w:tcPr>
            <w:tcW w:type="dxa" w:w="498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eeeeee"/>
            <w:tcMar>
              <w:top w:type="dxa" w:w="80"/>
              <w:left w:type="dxa" w:w="80"/>
              <w:bottom w:type="dxa" w:w="80"/>
              <w:right w:type="dxa" w:w="80"/>
            </w:tcMar>
            <w:vAlign w:val="center"/>
          </w:tcPr>
          <w:p>
            <w:pPr>
              <w:pStyle w:val="Table Style 1"/>
              <w:jc w:val="left"/>
            </w:pPr>
            <w:r>
              <w:rPr>
                <w:rFonts w:ascii="Helvetica Neue" w:hAnsi="Helvetica Neue"/>
                <w:b w:val="0"/>
                <w:bCs w:val="0"/>
                <w:outline w:val="0"/>
                <w:color w:val="5e5e5e"/>
                <w:rtl w:val="0"/>
                <w14:textFill>
                  <w14:solidFill>
                    <w14:srgbClr w14:val="5E5E5E"/>
                  </w14:solidFill>
                </w14:textFill>
              </w:rPr>
              <w:t>Testing available software</w:t>
            </w:r>
          </w:p>
        </w:tc>
        <w:tc>
          <w:tcPr>
            <w:tcW w:type="dxa" w:w="1376"/>
            <w:tcBorders>
              <w:top w:val="single" w:color="000000" w:sz="2" w:space="0" w:shadow="0" w:frame="0"/>
              <w:left w:val="single" w:color="000000" w:sz="6" w:space="0" w:shadow="0" w:frame="0"/>
              <w:bottom w:val="single" w:color="000000" w:sz="2" w:space="0" w:shadow="0" w:frame="0"/>
              <w:right w:val="single" w:color="5e5e5e" w:sz="2" w:space="0" w:shadow="0" w:frame="0"/>
            </w:tcBorders>
            <w:shd w:val="clear" w:color="auto" w:fill="56c1fe"/>
            <w:tcMar>
              <w:top w:type="dxa" w:w="80"/>
              <w:left w:type="dxa" w:w="80"/>
              <w:bottom w:type="dxa" w:w="80"/>
              <w:right w:type="dxa" w:w="80"/>
            </w:tcMar>
            <w:vAlign w:val="center"/>
          </w:tcPr>
          <w:p/>
        </w:tc>
        <w:tc>
          <w:tcPr>
            <w:tcW w:type="dxa" w:w="1324"/>
            <w:tcBorders>
              <w:top w:val="single" w:color="5e5e5e" w:sz="2" w:space="0" w:shadow="0" w:frame="0"/>
              <w:left w:val="single" w:color="5e5e5e" w:sz="2" w:space="0" w:shadow="0" w:frame="0"/>
              <w:bottom w:val="single" w:color="5e5e5e" w:sz="2" w:space="0" w:shadow="0" w:frame="0"/>
              <w:right w:val="single" w:color="000000" w:sz="2" w:space="0" w:shadow="0" w:frame="0"/>
            </w:tcBorders>
            <w:shd w:val="clear" w:color="auto" w:fill="fefffe"/>
            <w:tcMar>
              <w:top w:type="dxa" w:w="80"/>
              <w:left w:type="dxa" w:w="80"/>
              <w:bottom w:type="dxa" w:w="80"/>
              <w:right w:type="dxa" w:w="80"/>
            </w:tcMar>
            <w:vAlign w:val="center"/>
          </w:tcPr>
          <w:p/>
        </w:tc>
        <w:tc>
          <w:tcPr>
            <w:tcW w:type="dxa" w:w="1332"/>
            <w:tcBorders>
              <w:top w:val="single" w:color="000000" w:sz="2" w:space="0" w:shadow="0" w:frame="0"/>
              <w:left w:val="single" w:color="000000" w:sz="2" w:space="0" w:shadow="0" w:frame="0"/>
              <w:bottom w:val="single" w:color="000000" w:sz="2" w:space="0" w:shadow="0" w:frame="0"/>
              <w:right w:val="single" w:color="5e5e5e" w:sz="2" w:space="0" w:shadow="0" w:frame="0"/>
            </w:tcBorders>
            <w:shd w:val="clear" w:color="auto" w:fill="fefffe"/>
            <w:tcMar>
              <w:top w:type="dxa" w:w="80"/>
              <w:left w:type="dxa" w:w="80"/>
              <w:bottom w:type="dxa" w:w="80"/>
              <w:right w:type="dxa" w:w="80"/>
            </w:tcMar>
            <w:vAlign w:val="center"/>
          </w:tcPr>
          <w:p/>
        </w:tc>
      </w:tr>
      <w:tr>
        <w:tblPrEx>
          <w:shd w:val="clear" w:color="auto" w:fill="auto"/>
        </w:tblPrEx>
        <w:trPr>
          <w:trHeight w:val="634" w:hRule="atLeast"/>
        </w:trPr>
        <w:tc>
          <w:tcPr>
            <w:tcW w:type="dxa" w:w="498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eeeeee"/>
            <w:tcMar>
              <w:top w:type="dxa" w:w="80"/>
              <w:left w:type="dxa" w:w="80"/>
              <w:bottom w:type="dxa" w:w="80"/>
              <w:right w:type="dxa" w:w="80"/>
            </w:tcMar>
            <w:vAlign w:val="center"/>
          </w:tcPr>
          <w:p>
            <w:pPr>
              <w:pStyle w:val="Table Style 1"/>
              <w:jc w:val="left"/>
            </w:pPr>
            <w:r>
              <w:rPr>
                <w:rFonts w:ascii="Helvetica Neue" w:hAnsi="Helvetica Neue"/>
                <w:b w:val="0"/>
                <w:bCs w:val="0"/>
                <w:outline w:val="0"/>
                <w:color w:val="5e5e5e"/>
                <w:rtl w:val="0"/>
                <w14:textFill>
                  <w14:solidFill>
                    <w14:srgbClr w14:val="5E5E5E"/>
                  </w14:solidFill>
                </w14:textFill>
              </w:rPr>
              <w:t>Genomic simulation and validation</w:t>
            </w:r>
          </w:p>
        </w:tc>
        <w:tc>
          <w:tcPr>
            <w:tcW w:type="dxa" w:w="1376"/>
            <w:tcBorders>
              <w:top w:val="single" w:color="000000" w:sz="2" w:space="0" w:shadow="0" w:frame="0"/>
              <w:left w:val="single" w:color="000000" w:sz="6" w:space="0" w:shadow="0" w:frame="0"/>
              <w:bottom w:val="single" w:color="5e5e5e" w:sz="2" w:space="0" w:shadow="0" w:frame="0"/>
              <w:right w:val="single" w:color="000000" w:sz="2" w:space="0" w:shadow="0" w:frame="0"/>
            </w:tcBorders>
            <w:shd w:val="clear" w:color="auto" w:fill="56c1fe"/>
            <w:tcMar>
              <w:top w:type="dxa" w:w="80"/>
              <w:left w:type="dxa" w:w="80"/>
              <w:bottom w:type="dxa" w:w="80"/>
              <w:right w:type="dxa" w:w="80"/>
            </w:tcMar>
            <w:vAlign w:val="center"/>
          </w:tcPr>
          <w:p/>
        </w:tc>
        <w:tc>
          <w:tcPr>
            <w:tcW w:type="dxa" w:w="1324"/>
            <w:tcBorders>
              <w:top w:val="single" w:color="5e5e5e" w:sz="2" w:space="0" w:shadow="0" w:frame="0"/>
              <w:left w:val="single" w:color="000000" w:sz="2" w:space="0" w:shadow="0" w:frame="0"/>
              <w:bottom w:val="single" w:color="000000" w:sz="2" w:space="0" w:shadow="0" w:frame="0"/>
              <w:right w:val="single" w:color="5e5e5e" w:sz="2" w:space="0" w:shadow="0" w:frame="0"/>
            </w:tcBorders>
            <w:shd w:val="clear" w:color="auto" w:fill="56c1fe"/>
            <w:tcMar>
              <w:top w:type="dxa" w:w="80"/>
              <w:left w:type="dxa" w:w="80"/>
              <w:bottom w:type="dxa" w:w="80"/>
              <w:right w:type="dxa" w:w="80"/>
            </w:tcMar>
            <w:vAlign w:val="center"/>
          </w:tcPr>
          <w:p/>
        </w:tc>
        <w:tc>
          <w:tcPr>
            <w:tcW w:type="dxa" w:w="1332"/>
            <w:tcBorders>
              <w:top w:val="single" w:color="000000" w:sz="2" w:space="0" w:shadow="0" w:frame="0"/>
              <w:left w:val="single" w:color="5e5e5e" w:sz="2" w:space="0" w:shadow="0" w:frame="0"/>
              <w:bottom w:val="single" w:color="5e5e5e" w:sz="2" w:space="0" w:shadow="0" w:frame="0"/>
              <w:right w:val="single" w:color="5e5e5e" w:sz="2" w:space="0" w:shadow="0" w:frame="0"/>
            </w:tcBorders>
            <w:shd w:val="clear" w:color="auto" w:fill="fefffe"/>
            <w:tcMar>
              <w:top w:type="dxa" w:w="80"/>
              <w:left w:type="dxa" w:w="80"/>
              <w:bottom w:type="dxa" w:w="80"/>
              <w:right w:type="dxa" w:w="80"/>
            </w:tcMar>
            <w:vAlign w:val="center"/>
          </w:tcPr>
          <w:p/>
        </w:tc>
      </w:tr>
      <w:tr>
        <w:tblPrEx>
          <w:shd w:val="clear" w:color="auto" w:fill="auto"/>
        </w:tblPrEx>
        <w:trPr>
          <w:trHeight w:val="634" w:hRule="atLeast"/>
        </w:trPr>
        <w:tc>
          <w:tcPr>
            <w:tcW w:type="dxa" w:w="498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eeeeee"/>
            <w:tcMar>
              <w:top w:type="dxa" w:w="80"/>
              <w:left w:type="dxa" w:w="80"/>
              <w:bottom w:type="dxa" w:w="80"/>
              <w:right w:type="dxa" w:w="80"/>
            </w:tcMar>
            <w:vAlign w:val="center"/>
          </w:tcPr>
          <w:p>
            <w:pPr>
              <w:pStyle w:val="Table Style 1"/>
              <w:jc w:val="left"/>
            </w:pPr>
            <w:r>
              <w:rPr>
                <w:rFonts w:ascii="Helvetica Neue" w:hAnsi="Helvetica Neue"/>
                <w:b w:val="0"/>
                <w:bCs w:val="0"/>
                <w:outline w:val="0"/>
                <w:color w:val="5e5e5e"/>
                <w:rtl w:val="0"/>
                <w14:textFill>
                  <w14:solidFill>
                    <w14:srgbClr w14:val="5E5E5E"/>
                  </w14:solidFill>
                </w14:textFill>
              </w:rPr>
              <w:t>Phenotype simulation and validation</w:t>
            </w:r>
          </w:p>
        </w:tc>
        <w:tc>
          <w:tcPr>
            <w:tcW w:type="dxa" w:w="1376"/>
            <w:tcBorders>
              <w:top w:val="single" w:color="5e5e5e" w:sz="2" w:space="0" w:shadow="0" w:frame="0"/>
              <w:left w:val="single" w:color="000000" w:sz="6" w:space="0" w:shadow="0" w:frame="0"/>
              <w:bottom w:val="single" w:color="000000" w:sz="2" w:space="0" w:shadow="0" w:frame="0"/>
              <w:right w:val="single" w:color="5e5e5e" w:sz="2" w:space="0" w:shadow="0" w:frame="0"/>
            </w:tcBorders>
            <w:shd w:val="clear" w:color="auto" w:fill="fefffe"/>
            <w:tcMar>
              <w:top w:type="dxa" w:w="80"/>
              <w:left w:type="dxa" w:w="80"/>
              <w:bottom w:type="dxa" w:w="80"/>
              <w:right w:type="dxa" w:w="80"/>
            </w:tcMar>
            <w:vAlign w:val="center"/>
          </w:tcPr>
          <w:p/>
        </w:tc>
        <w:tc>
          <w:tcPr>
            <w:tcW w:type="dxa" w:w="1324"/>
            <w:tcBorders>
              <w:top w:val="single" w:color="000000" w:sz="2" w:space="0" w:shadow="0" w:frame="0"/>
              <w:left w:val="single" w:color="5e5e5e" w:sz="2" w:space="0" w:shadow="0" w:frame="0"/>
              <w:bottom w:val="single" w:color="000000" w:sz="2" w:space="0" w:shadow="0" w:frame="0"/>
              <w:right w:val="single" w:color="000000" w:sz="2" w:space="0" w:shadow="0" w:frame="0"/>
            </w:tcBorders>
            <w:shd w:val="clear" w:color="auto" w:fill="56c1fe"/>
            <w:tcMar>
              <w:top w:type="dxa" w:w="80"/>
              <w:left w:type="dxa" w:w="80"/>
              <w:bottom w:type="dxa" w:w="80"/>
              <w:right w:type="dxa" w:w="80"/>
            </w:tcMar>
            <w:vAlign w:val="center"/>
          </w:tcPr>
          <w:p/>
        </w:tc>
        <w:tc>
          <w:tcPr>
            <w:tcW w:type="dxa" w:w="1332"/>
            <w:tcBorders>
              <w:top w:val="single" w:color="5e5e5e" w:sz="2" w:space="0" w:shadow="0" w:frame="0"/>
              <w:left w:val="single" w:color="000000" w:sz="2" w:space="0" w:shadow="0" w:frame="0"/>
              <w:bottom w:val="single" w:color="000000" w:sz="2" w:space="0" w:shadow="0" w:frame="0"/>
              <w:right w:val="single" w:color="000000" w:sz="2" w:space="0" w:shadow="0" w:frame="0"/>
            </w:tcBorders>
            <w:shd w:val="clear" w:color="auto" w:fill="56c1fe"/>
            <w:tcMar>
              <w:top w:type="dxa" w:w="80"/>
              <w:left w:type="dxa" w:w="80"/>
              <w:bottom w:type="dxa" w:w="80"/>
              <w:right w:type="dxa" w:w="80"/>
            </w:tcMar>
            <w:vAlign w:val="center"/>
          </w:tcPr>
          <w:p/>
        </w:tc>
      </w:tr>
      <w:tr>
        <w:tblPrEx>
          <w:shd w:val="clear" w:color="auto" w:fill="auto"/>
        </w:tblPrEx>
        <w:trPr>
          <w:trHeight w:val="634" w:hRule="atLeast"/>
        </w:trPr>
        <w:tc>
          <w:tcPr>
            <w:tcW w:type="dxa" w:w="498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eeeeee"/>
            <w:tcMar>
              <w:top w:type="dxa" w:w="80"/>
              <w:left w:type="dxa" w:w="80"/>
              <w:bottom w:type="dxa" w:w="80"/>
              <w:right w:type="dxa" w:w="80"/>
            </w:tcMar>
            <w:vAlign w:val="center"/>
          </w:tcPr>
          <w:p>
            <w:pPr>
              <w:pStyle w:val="Table Style 1"/>
              <w:jc w:val="left"/>
            </w:pPr>
            <w:r>
              <w:rPr>
                <w:rFonts w:ascii="Helvetica Neue" w:hAnsi="Helvetica Neue"/>
                <w:b w:val="0"/>
                <w:bCs w:val="0"/>
                <w:outline w:val="0"/>
                <w:color w:val="5e5e5e"/>
                <w:rtl w:val="0"/>
                <w14:textFill>
                  <w14:solidFill>
                    <w14:srgbClr w14:val="5E5E5E"/>
                  </w14:solidFill>
                </w14:textFill>
              </w:rPr>
              <w:t>Testing of different breeding strategies</w:t>
            </w:r>
          </w:p>
        </w:tc>
        <w:tc>
          <w:tcPr>
            <w:tcW w:type="dxa" w:w="137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56c1fe"/>
            <w:tcMar>
              <w:top w:type="dxa" w:w="80"/>
              <w:left w:type="dxa" w:w="80"/>
              <w:bottom w:type="dxa" w:w="80"/>
              <w:right w:type="dxa" w:w="80"/>
            </w:tcMar>
            <w:vAlign w:val="center"/>
          </w:tcPr>
          <w:p/>
        </w:tc>
        <w:tc>
          <w:tcPr>
            <w:tcW w:type="dxa" w:w="13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56c1fe"/>
            <w:tcMar>
              <w:top w:type="dxa" w:w="80"/>
              <w:left w:type="dxa" w:w="80"/>
              <w:bottom w:type="dxa" w:w="80"/>
              <w:right w:type="dxa" w:w="80"/>
            </w:tcMar>
            <w:vAlign w:val="center"/>
          </w:tcPr>
          <w:p/>
        </w:tc>
      </w:tr>
      <w:tr>
        <w:tblPrEx>
          <w:shd w:val="clear" w:color="auto" w:fill="auto"/>
        </w:tblPrEx>
        <w:trPr>
          <w:trHeight w:val="634" w:hRule="atLeast"/>
        </w:trPr>
        <w:tc>
          <w:tcPr>
            <w:tcW w:type="dxa" w:w="498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eeeeee"/>
            <w:tcMar>
              <w:top w:type="dxa" w:w="80"/>
              <w:left w:type="dxa" w:w="80"/>
              <w:bottom w:type="dxa" w:w="80"/>
              <w:right w:type="dxa" w:w="80"/>
            </w:tcMar>
            <w:vAlign w:val="center"/>
          </w:tcPr>
          <w:p>
            <w:pPr>
              <w:pStyle w:val="Table Style 1"/>
              <w:jc w:val="left"/>
            </w:pPr>
            <w:r>
              <w:rPr>
                <w:rFonts w:ascii="Helvetica Neue" w:hAnsi="Helvetica Neue"/>
                <w:b w:val="0"/>
                <w:bCs w:val="0"/>
                <w:outline w:val="0"/>
                <w:color w:val="5e5e5e"/>
                <w:rtl w:val="0"/>
                <w14:textFill>
                  <w14:solidFill>
                    <w14:srgbClr w14:val="5E5E5E"/>
                  </w14:solidFill>
                </w14:textFill>
              </w:rPr>
              <w:t>Manuscript writing</w:t>
            </w:r>
          </w:p>
        </w:tc>
        <w:tc>
          <w:tcPr>
            <w:tcW w:type="dxa" w:w="1376"/>
            <w:tcBorders>
              <w:top w:val="single" w:color="000000" w:sz="2" w:space="0" w:shadow="0" w:frame="0"/>
              <w:left w:val="single" w:color="000000" w:sz="6" w:space="0" w:shadow="0" w:frame="0"/>
              <w:bottom w:val="single" w:color="5e5e5e" w:sz="2" w:space="0" w:shadow="0" w:frame="0"/>
              <w:right w:val="single" w:color="000000" w:sz="2" w:space="0" w:shadow="0" w:frame="0"/>
            </w:tcBorders>
            <w:shd w:val="clear" w:color="auto" w:fill="fefffe"/>
            <w:tcMar>
              <w:top w:type="dxa" w:w="80"/>
              <w:left w:type="dxa" w:w="80"/>
              <w:bottom w:type="dxa" w:w="80"/>
              <w:right w:type="dxa" w:w="80"/>
            </w:tcMar>
            <w:vAlign w:val="center"/>
          </w:tcPr>
          <w:p/>
        </w:tc>
        <w:tc>
          <w:tcPr>
            <w:tcW w:type="dxa" w:w="1324"/>
            <w:tcBorders>
              <w:top w:val="single" w:color="000000" w:sz="2" w:space="0" w:shadow="0" w:frame="0"/>
              <w:left w:val="single" w:color="000000" w:sz="2" w:space="0" w:shadow="0" w:frame="0"/>
              <w:bottom w:val="single" w:color="5e5e5e" w:sz="2" w:space="0" w:shadow="0" w:frame="0"/>
              <w:right w:val="single" w:color="5e5e5e" w:sz="2" w:space="0" w:shadow="0" w:frame="0"/>
            </w:tcBorders>
            <w:shd w:val="clear" w:color="auto" w:fill="fefffe"/>
            <w:tcMar>
              <w:top w:type="dxa" w:w="80"/>
              <w:left w:type="dxa" w:w="80"/>
              <w:bottom w:type="dxa" w:w="80"/>
              <w:right w:type="dxa" w:w="80"/>
            </w:tcMar>
            <w:vAlign w:val="center"/>
          </w:tcPr>
          <w:p/>
        </w:tc>
        <w:tc>
          <w:tcPr>
            <w:tcW w:type="dxa" w:w="1332"/>
            <w:tcBorders>
              <w:top w:val="single" w:color="000000" w:sz="2" w:space="0" w:shadow="0" w:frame="0"/>
              <w:left w:val="single" w:color="5e5e5e" w:sz="2" w:space="0" w:shadow="0" w:frame="0"/>
              <w:bottom w:val="single" w:color="000000" w:sz="2" w:space="0" w:shadow="0" w:frame="0"/>
              <w:right w:val="single" w:color="000000" w:sz="2" w:space="0" w:shadow="0" w:frame="0"/>
            </w:tcBorders>
            <w:shd w:val="clear" w:color="auto" w:fill="56c1fe"/>
            <w:tcMar>
              <w:top w:type="dxa" w:w="80"/>
              <w:left w:type="dxa" w:w="80"/>
              <w:bottom w:type="dxa" w:w="80"/>
              <w:right w:type="dxa" w:w="80"/>
            </w:tcMar>
            <w:vAlign w:val="center"/>
          </w:tcPr>
          <w:p/>
        </w:tc>
      </w:tr>
    </w:tbl>
    <w:p>
      <w:pPr>
        <w:pStyle w:val="Body"/>
        <w:bidi w:val="0"/>
      </w:pPr>
    </w:p>
    <w:p>
      <w:pPr>
        <w:pStyle w:val="Body"/>
        <w:rPr>
          <w:b w:val="1"/>
          <w:bCs w:val="1"/>
          <w:sz w:val="36"/>
          <w:szCs w:val="36"/>
        </w:rPr>
      </w:pPr>
    </w:p>
    <w:p>
      <w:pPr>
        <w:pStyle w:val="Body"/>
        <w:rPr>
          <w:b w:val="1"/>
          <w:bCs w:val="1"/>
          <w:sz w:val="36"/>
          <w:szCs w:val="36"/>
        </w:rPr>
      </w:pPr>
      <w:r>
        <w:rPr>
          <w:b w:val="1"/>
          <w:bCs w:val="1"/>
          <w:sz w:val="36"/>
          <w:szCs w:val="36"/>
          <w:rtl w:val="0"/>
          <w:lang w:val="en-US"/>
        </w:rPr>
        <w:t>3.3 Publication &amp; IP</w:t>
      </w:r>
    </w:p>
    <w:p>
      <w:pPr>
        <w:pStyle w:val="Body"/>
        <w:bidi w:val="0"/>
      </w:pPr>
      <w:r>
        <w:rPr>
          <w:rtl w:val="0"/>
        </w:rPr>
        <w:t xml:space="preserve">Computomics supports the publication of this work in an academic journal and the release of the developed code under OSI approved open source software license. </w:t>
      </w:r>
    </w:p>
    <w:sectPr>
      <w:headerReference w:type="default" r:id="rId4"/>
      <w:footerReference w:type="default" r:id="rId5"/>
      <w:pgSz w:w="11900" w:h="16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7"/>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