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2.jpg" ContentType="image/jpeg"/>
  <Override PartName="/word/media/rId56.jpg" ContentType="image/jpeg"/>
  <Override PartName="/word/media/rId60.jpg" ContentType="image/jpeg"/>
  <Override PartName="/word/media/rId22.jpg" ContentType="image/jpeg"/>
  <Override PartName="/word/media/rId6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6" w:name="однакратное-гамми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Однакратное гаммирование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1) является простой, но надёжной схемой шифрования данных.</w:t>
      </w:r>
    </w:p>
    <w:p>
      <w:pPr>
        <w:pStyle w:val="CaptionedFigure"/>
      </w:pPr>
      <w:bookmarkStart w:id="25" w:name="fig:scheme_1"/>
      <w:r>
        <w:drawing>
          <wp:inline>
            <wp:extent cx="5334000" cy="1370635"/>
            <wp:effectExtent b="0" l="0" r="0" t="0"/>
            <wp:docPr descr="Рис. 1: Схема однократного использования Вернама" title="" id="23" name="Picture"/>
            <a:graphic>
              <a:graphicData uri="http://schemas.openxmlformats.org/drawingml/2006/picture">
                <pic:pic>
                  <pic:nvPicPr>
                    <pic:cNvPr descr="image/scheme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Схема однократного использования Вернама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 гаммы и элементами подлежащего сокрытию текста. Напомним, как рабо-</w:t>
      </w:r>
      <w:r>
        <w:t xml:space="preserve"> </w:t>
      </w:r>
      <w:r>
        <w:t xml:space="preserve">тает операция XOR над битами:</w:t>
      </w:r>
      <w:r>
        <w:t xml:space="preserve"> </w:t>
      </w:r>
      <m:oMath>
        <m:r>
          <m:t>0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m</m:t>
            </m:r>
          </m:e>
        </m:bar>
      </m:oMath>
      <w:r>
        <w:t xml:space="preserve">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 ключа решается также в соответствии с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</m:oMath>
      <w:r>
        <w:t xml:space="preserve">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все различные ключевые последовательности K возможны и равновероятны, а значит, возможны и любые сообщения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01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  <w:pStyle w:val="Compact"/>
      </w:pPr>
      <w:r>
        <w:t xml:space="preserve">однократное использование ключа.</w:t>
      </w:r>
    </w:p>
    <w:bookmarkEnd w:id="26"/>
    <w:bookmarkStart w:id="29" w:name="таблиц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Таблицы</w:t>
      </w:r>
    </w:p>
    <w:bookmarkStart w:id="27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7"/>
    <w:bookmarkStart w:id="28" w:name="tbl:cmds"/>
    <w:p>
      <w:pPr>
        <w:pStyle w:val="TableCaption"/>
      </w:pPr>
      <w:r>
        <w:t xml:space="preserve">Таблица 2: Описание некоторых используемых в работе команд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Описание некоторых используемых в работе команд"/>
      </w:tblPr>
      <w:tblGrid>
        <w:gridCol w:w="702"/>
        <w:gridCol w:w="72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Создает текстовый файл по указанному пути и с указанным именем внутри пути.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Запуск в терминале текстовый редактор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python3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Компилятор языка программирования python. В работе используется для запуска .py программ.</w:t>
            </w:r>
          </w:p>
        </w:tc>
      </w:tr>
    </w:tbl>
    <w:bookmarkEnd w:id="28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9"/>
    <w:bookmarkEnd w:id="3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написание-вспомогательных-функц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Написание вспомогательных функций</w:t>
      </w:r>
    </w:p>
    <w:p>
      <w:pPr>
        <w:pStyle w:val="FirstParagraph"/>
      </w:pPr>
      <w:r>
        <w:t xml:space="preserve">Для начала импортируем необходимые для работы библиотеки и функции (рис. 2):</w:t>
      </w:r>
    </w:p>
    <w:p>
      <w:pPr>
        <w:pStyle w:val="CaptionedFigure"/>
      </w:pPr>
      <w:bookmarkStart w:id="34" w:name="fig:1"/>
      <w:r>
        <w:drawing>
          <wp:inline>
            <wp:extent cx="1927860" cy="464820"/>
            <wp:effectExtent b="0" l="0" r="0" t="0"/>
            <wp:docPr descr="Рис. 2: Импорт функции randint" title="" id="32" name="Picture"/>
            <a:graphic>
              <a:graphicData uri="http://schemas.openxmlformats.org/drawingml/2006/picture">
                <pic:pic>
                  <pic:nvPicPr>
                    <pic:cNvPr descr="image/img_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Импорт функции randint</w:t>
      </w:r>
    </w:p>
    <w:p>
      <w:pPr>
        <w:pStyle w:val="BodyText"/>
      </w:pPr>
      <w:r>
        <w:t xml:space="preserve">Напишем функцию добавления пробелов в конце строки до нужного размера строки (рис. 4). Это необходимо, посокльку длины открытых сообщений должны совпадать, иначе их нельзя будет зашифровать одним и тем же ключом гаммирования.</w:t>
      </w:r>
    </w:p>
    <w:p>
      <w:pPr>
        <w:pStyle w:val="CaptionedFigure"/>
      </w:pPr>
      <w:bookmarkStart w:id="38" w:name="fig:2"/>
      <w:r>
        <w:drawing>
          <wp:inline>
            <wp:extent cx="5334000" cy="1499286"/>
            <wp:effectExtent b="0" l="0" r="0" t="0"/>
            <wp:docPr descr="Рис. 3: Функция добавления пробелов" title="" id="36" name="Picture"/>
            <a:graphic>
              <a:graphicData uri="http://schemas.openxmlformats.org/drawingml/2006/picture">
                <pic:pic>
                  <pic:nvPicPr>
                    <pic:cNvPr descr="image/img_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3: Функция добавления пробелов</w:t>
      </w:r>
    </w:p>
    <w:p>
      <w:pPr>
        <w:pStyle w:val="BodyText"/>
      </w:pPr>
      <w:r>
        <w:t xml:space="preserve">Также напишем функцию, представляющую исходную строку в виде строки последовательности символов в шестнадцатиричном виде, разделенных двоеточиями (рис. 3). Это необходимо, поскольку ключ имеет шестнадцатиричное представление. Также это необходимо будет еще и потому, что в процессе поэлементного применения XOR мы получаем новый код символа, который зачастую невозможно отобразить в нормальном виде.</w:t>
      </w:r>
    </w:p>
    <w:p>
      <w:pPr>
        <w:pStyle w:val="CaptionedFigure"/>
      </w:pPr>
      <w:bookmarkStart w:id="42" w:name="fig:3"/>
      <w:r>
        <w:drawing>
          <wp:inline>
            <wp:extent cx="5334000" cy="1787850"/>
            <wp:effectExtent b="0" l="0" r="0" t="0"/>
            <wp:docPr descr="Рис. 4: Функция представления строки в шестнадцатиричном виде" title="" id="40" name="Picture"/>
            <a:graphic>
              <a:graphicData uri="http://schemas.openxmlformats.org/drawingml/2006/picture">
                <pic:pic>
                  <pic:nvPicPr>
                    <pic:cNvPr descr="image/img_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Функция представления строки в шестнадцатиричном виде</w:t>
      </w:r>
    </w:p>
    <w:p>
      <w:pPr>
        <w:pStyle w:val="BodyText"/>
      </w:pPr>
      <w:r>
        <w:t xml:space="preserve">Для удобства дальнейшей работы, напишем функцию генерации случайной строки заданной длины</w:t>
      </w:r>
      <w:r>
        <w:t xml:space="preserve"> </w:t>
      </w:r>
      <w:r>
        <w:rPr>
          <w:iCs/>
          <w:i/>
        </w:rPr>
        <w:t xml:space="preserve">lenght</w:t>
      </w:r>
      <w:r>
        <w:t xml:space="preserve"> </w:t>
      </w:r>
      <w:r>
        <w:t xml:space="preserve">с использованием заданных символов</w:t>
      </w:r>
      <w:r>
        <w:t xml:space="preserve"> </w:t>
      </w:r>
      <w:r>
        <w:rPr>
          <w:iCs/>
          <w:i/>
        </w:rPr>
        <w:t xml:space="preserve">letters</w:t>
      </w:r>
      <w:r>
        <w:t xml:space="preserve">, причем по умолчанию - это латинские символы верхнего и нижнего регистров (рис. 5).</w:t>
      </w:r>
    </w:p>
    <w:p>
      <w:pPr>
        <w:pStyle w:val="CaptionedFigure"/>
      </w:pPr>
      <w:bookmarkStart w:id="46" w:name="fig:4"/>
      <w:r>
        <w:drawing>
          <wp:inline>
            <wp:extent cx="5334000" cy="1928446"/>
            <wp:effectExtent b="0" l="0" r="0" t="0"/>
            <wp:docPr descr="Рис. 5: Функция генерации случайной строки" title="" id="44" name="Picture"/>
            <a:graphic>
              <a:graphicData uri="http://schemas.openxmlformats.org/drawingml/2006/picture">
                <pic:pic>
                  <pic:nvPicPr>
                    <pic:cNvPr descr="image/img_4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Функция генерации случайной строки</w:t>
      </w:r>
    </w:p>
    <w:p>
      <w:pPr>
        <w:pStyle w:val="BodyText"/>
      </w:pPr>
      <w:r>
        <w:t xml:space="preserve">Напишем функцию, позволяющую шифровать и дешифровать текстовые сообщения в режиме однократного гаммирования (рис. 6).</w:t>
      </w:r>
    </w:p>
    <w:p>
      <w:pPr>
        <w:pStyle w:val="CaptionedFigure"/>
      </w:pPr>
      <w:bookmarkStart w:id="50" w:name="fig:5"/>
      <w:r>
        <w:drawing>
          <wp:inline>
            <wp:extent cx="5334000" cy="1589942"/>
            <wp:effectExtent b="0" l="0" r="0" t="0"/>
            <wp:docPr descr="Рис. 6: Функция однократного гаммирования" title="" id="48" name="Picture"/>
            <a:graphic>
              <a:graphicData uri="http://schemas.openxmlformats.org/drawingml/2006/picture">
                <pic:pic>
                  <pic:nvPicPr>
                    <pic:cNvPr descr="image/img_5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Функция однократного гаммирования</w:t>
      </w:r>
    </w:p>
    <w:bookmarkEnd w:id="51"/>
    <w:bookmarkStart w:id="64" w:name="Xd8448e7f79bf612299c7189634a2c53f0a65a8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Эмуляция сценария расшифроваки злоумышленником двух сообщений</w:t>
      </w:r>
    </w:p>
    <w:p>
      <w:pPr>
        <w:pStyle w:val="FirstParagraph"/>
      </w:pPr>
      <w:r>
        <w:t xml:space="preserve">Пусть у центра есть две телеграммы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а также ключ</w:t>
      </w:r>
      <w:r>
        <w:t xml:space="preserve"> </w:t>
      </w:r>
      <m:oMath>
        <m:r>
          <m:t>K</m:t>
        </m:r>
      </m:oMath>
      <w:r>
        <w:t xml:space="preserve">. Тогда с помощью этого ключа можно зашифровать эти две телеграммы методом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 в соответствии с формулами выше, зная шифротекст двух телеграмм, зашифрованных одним ключом. Для это оба равенства складываются по модулю 2. Тогда с учётом свойства операции XOR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 </m:t>
          </m:r>
          <m:r>
            <m:t>o</m:t>
          </m:r>
          <m:r>
            <m:t>p</m:t>
          </m:r>
          <m:r>
            <m:t>l</m:t>
          </m:r>
          <m:r>
            <m:t>u</m:t>
          </m:r>
          <m:r>
            <m:t>s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 P2,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та же формула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p>
      <w:pPr>
        <w:pStyle w:val="BodyText"/>
      </w:pPr>
      <w:r>
        <w:t xml:space="preserve">Сымитируем похожую ситуацию, используя реализованные выше функции (рис. 7).</w:t>
      </w:r>
    </w:p>
    <w:p>
      <w:pPr>
        <w:pStyle w:val="CaptionedFigure"/>
      </w:pPr>
      <w:bookmarkStart w:id="55" w:name="fig:6"/>
      <w:r>
        <w:drawing>
          <wp:inline>
            <wp:extent cx="5334000" cy="3902400"/>
            <wp:effectExtent b="0" l="0" r="0" t="0"/>
            <wp:docPr descr="Рис. 7: Код эмуляции ситуации взлома" title="" id="53" name="Picture"/>
            <a:graphic>
              <a:graphicData uri="http://schemas.openxmlformats.org/drawingml/2006/picture">
                <pic:pic>
                  <pic:nvPicPr>
                    <pic:cNvPr descr="image/img_6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7: Код эмуляции ситуации взлома</w:t>
      </w:r>
    </w:p>
    <w:p>
      <w:pPr>
        <w:pStyle w:val="BodyText"/>
      </w:pPr>
      <w:r>
        <w:t xml:space="preserve">Теперь можно посмотреть, как работает программа [</w:t>
      </w:r>
      <w:r>
        <w:rPr>
          <w:bCs/>
          <w:b/>
        </w:rPr>
        <w:t xml:space="preserve">cmd:</w:t>
      </w:r>
      <w:r>
        <w:t xml:space="preserve"> </w:t>
      </w:r>
      <w:r>
        <w:t xml:space="preserve">python3 Lab8.py] (рис. 8 и 9):</w:t>
      </w:r>
    </w:p>
    <w:p>
      <w:pPr>
        <w:pStyle w:val="CaptionedFigure"/>
      </w:pPr>
      <w:bookmarkStart w:id="59" w:name="fig:7"/>
      <w:r>
        <w:drawing>
          <wp:inline>
            <wp:extent cx="5334000" cy="4108494"/>
            <wp:effectExtent b="0" l="0" r="0" t="0"/>
            <wp:docPr descr="Рис. 8: Работа программы расшифровки" title="" id="57" name="Picture"/>
            <a:graphic>
              <a:graphicData uri="http://schemas.openxmlformats.org/drawingml/2006/picture">
                <pic:pic>
                  <pic:nvPicPr>
                    <pic:cNvPr descr="image/img_7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Работа программы расшифровки</w:t>
      </w:r>
    </w:p>
    <w:p>
      <w:pPr>
        <w:pStyle w:val="CaptionedFigure"/>
      </w:pPr>
      <w:bookmarkStart w:id="63" w:name="fig:8"/>
      <w:r>
        <w:drawing>
          <wp:inline>
            <wp:extent cx="5334000" cy="4114263"/>
            <wp:effectExtent b="0" l="0" r="0" t="0"/>
            <wp:docPr descr="Рис. 9: Работа программы расшифровки" title="" id="61" name="Picture"/>
            <a:graphic>
              <a:graphicData uri="http://schemas.openxmlformats.org/drawingml/2006/picture">
                <pic:pic>
                  <pic:nvPicPr>
                    <pic:cNvPr descr="image/img_8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Работа программы расшифровки</w:t>
      </w:r>
    </w:p>
    <w:p>
      <w:pPr>
        <w:pStyle w:val="BodyText"/>
      </w:pPr>
      <w:r>
        <w:t xml:space="preserve">Как можно видеть по рисункам выше, зная лишь только часть одного из сообщений, можно постепенно расшифровать оба сообщения. Таким образом, приходим к выводу, что использование одного и того же ключа для шифрования нескольких сообщений методов однократного гаммирования - это плохая идея.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освоил на практике применение режима однократного гаммирования на примере кодирования различных исходных текстов одним ключом; написал программу, позволяющую расшифровать два сообщения, зная только один из них.</w:t>
      </w:r>
    </w:p>
    <w:bookmarkEnd w:id="66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или</w:t>
      </w:r>
      <w:r>
        <w:rPr>
          <w:bCs/>
          <w:b/>
        </w:rP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rPr>
          <w:bCs/>
          <w:b/>
        </w:rPr>
        <w:t xml:space="preserve">), определить другой, не зная при этом ключа?</w:t>
      </w:r>
    </w:p>
    <w:p>
      <w:pPr>
        <w:numPr>
          <w:ilvl w:val="0"/>
          <w:numId w:val="1000"/>
        </w:numPr>
      </w:pPr>
      <w:r>
        <w:t xml:space="preserve">Допустим, что злоумышленнику известен полностью текст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Тогда учитывая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 </m:t>
          </m:r>
          <m:r>
            <m:t>o</m:t>
          </m:r>
          <m:r>
            <m:t>p</m:t>
          </m:r>
          <m:r>
            <m:t>l</m:t>
          </m:r>
          <m:r>
            <m:t>u</m:t>
          </m:r>
          <m:r>
            <m:t>s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Таким образом, злоумышленник может полностью получить второй текст (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). При этом для этого даже не нужно находить ключ гаммирования. Таким же способом можно найти весь текст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, если известен полностью текст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Если же известна только часть только одного текста, то можно угадывать символы постепенно, расшифровывая один за счет другого и добавляя веротяную последовательность символов в соотвествии со спецификой информации и языка.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Что будет при повторном использовании ключа при шифровании текста?</w:t>
      </w:r>
    </w:p>
    <w:p>
      <w:pPr>
        <w:numPr>
          <w:ilvl w:val="0"/>
          <w:numId w:val="1000"/>
        </w:numPr>
      </w:pPr>
      <w:r>
        <w:t xml:space="preserve">При повторном использовании ключа при шифровании текста, в соотвествии с формулами: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получаем исходный текст (текст до шифровки).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numPr>
          <w:ilvl w:val="0"/>
          <w:numId w:val="1000"/>
        </w:numPr>
      </w:pPr>
      <w:r>
        <w:t xml:space="preserve">Режим шифрования однократного гаммирования одним ключом двух видов открытого текста реализуется в соответсвии с формулами и со схемой ниже:</w:t>
      </w:r>
    </w:p>
    <w:p>
      <w:pPr>
        <w:numPr>
          <w:ilvl w:val="0"/>
          <w:numId w:val="1000"/>
        </w:numPr>
        <w:pStyle w:val="CaptionedFigure"/>
      </w:pPr>
      <w:bookmarkStart w:id="70" w:name="fig:scheme_2"/>
      <w:r>
        <w:drawing>
          <wp:inline>
            <wp:extent cx="5204460" cy="1920239"/>
            <wp:effectExtent b="0" l="0" r="0" t="0"/>
            <wp:docPr descr="Рис. 10: Общая схема шифрования двух различных текстов одним ключом" title="" id="68" name="Picture"/>
            <a:graphic>
              <a:graphicData uri="http://schemas.openxmlformats.org/drawingml/2006/picture">
                <pic:pic>
                  <pic:nvPicPr>
                    <pic:cNvPr descr="image/scheme_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9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Рис. 10: Общая схема шифрования двух различных текстов одним ключом</w:t>
      </w:r>
    </w:p>
    <w:p>
      <w:pPr>
        <w:numPr>
          <w:ilvl w:val="0"/>
          <w:numId w:val="1000"/>
        </w:numPr>
      </w:pPr>
      <w:r>
        <w:t xml:space="preserve">Пусть у центра есть две телеграммы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а также ключ</w:t>
      </w:r>
      <w:r>
        <w:t xml:space="preserve"> </w:t>
      </w:r>
      <m:oMath>
        <m:r>
          <m:t>K</m:t>
        </m:r>
      </m:oMath>
      <w:r>
        <w:t xml:space="preserve">. Тогда с помощью этого ключа можно зашифровать эти две телеграммы методом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Перечислите недостатки шифрования одним ключом двух открытых текстов.</w:t>
      </w:r>
    </w:p>
    <w:p>
      <w:pPr>
        <w:numPr>
          <w:ilvl w:val="0"/>
          <w:numId w:val="1000"/>
        </w:numPr>
      </w:pPr>
      <w:r>
        <w:t xml:space="preserve">Недостатки шифрования одним ключом двух открытых текстов:</w:t>
      </w:r>
    </w:p>
    <w:p>
      <w:pPr>
        <w:numPr>
          <w:ilvl w:val="1"/>
          <w:numId w:val="1003"/>
        </w:numPr>
        <w:pStyle w:val="Compact"/>
      </w:pPr>
      <w:r>
        <w:t xml:space="preserve">зная полностью одно сообщение, можно получить и второе;</w:t>
      </w:r>
    </w:p>
    <w:p>
      <w:pPr>
        <w:numPr>
          <w:ilvl w:val="1"/>
          <w:numId w:val="1003"/>
        </w:numPr>
        <w:pStyle w:val="Compact"/>
      </w:pPr>
      <w:r>
        <w:t xml:space="preserve">зная лишь часть одного сообщения, возможно постепенно расшифровать оба сообщения;</w:t>
      </w:r>
    </w:p>
    <w:p>
      <w:pPr>
        <w:numPr>
          <w:ilvl w:val="1"/>
          <w:numId w:val="1003"/>
        </w:numPr>
        <w:pStyle w:val="Compact"/>
      </w:pPr>
      <w:r>
        <w:t xml:space="preserve">необходимо, чтобы оба сообщения были одинаковых размеров (либо создать одие ключ длиной равной максимум длин сообщений и для коротких обрезать его, тем самым можно немного увеличить безопасность).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Перечислите преимущества шифрования одним ключом двух открытых текстов.</w:t>
      </w:r>
    </w:p>
    <w:p>
      <w:pPr>
        <w:numPr>
          <w:ilvl w:val="0"/>
          <w:numId w:val="1000"/>
        </w:numPr>
      </w:pPr>
      <w:r>
        <w:t xml:space="preserve">Преимущества шифрования одним ключом двух открытых текстов:</w:t>
      </w:r>
    </w:p>
    <w:p>
      <w:pPr>
        <w:numPr>
          <w:ilvl w:val="1"/>
          <w:numId w:val="1004"/>
        </w:numPr>
        <w:pStyle w:val="Compact"/>
      </w:pPr>
      <w:r>
        <w:t xml:space="preserve">из преимуществ только немного сэкономленная память и сокращенное число итераций. Однако это польностью невелируется отсутствием достаточной безопасности.</w:t>
      </w:r>
    </w:p>
    <w:bookmarkEnd w:id="71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Start w:id="7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3"/>
    <w:bookmarkStart w:id="7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5"/>
    <w:bookmarkStart w:id="7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6"/>
    <w:bookmarkStart w:id="7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8"/>
    <w:bookmarkStart w:id="7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9"/>
    <w:bookmarkStart w:id="8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22" Target="media/rId22.jpg" /><Relationship Type="http://schemas.openxmlformats.org/officeDocument/2006/relationships/image" Id="rId67" Target="media/rId67.jpg" /><Relationship Type="http://schemas.openxmlformats.org/officeDocument/2006/relationships/hyperlink" Id="rId74" Target="http://www.amazon.com/Learning-bash-Shell-Programming-Nutshell/dp/0596009658" TargetMode="External" /><Relationship Type="http://schemas.openxmlformats.org/officeDocument/2006/relationships/hyperlink" Id="rId72" Target="https://www.gnu.org/software/bash/manual/" TargetMode="External" /><Relationship Type="http://schemas.openxmlformats.org/officeDocument/2006/relationships/hyperlink" Id="rId7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://www.amazon.com/Learning-bash-Shell-Programming-Nutshell/dp/0596009658" TargetMode="External" /><Relationship Type="http://schemas.openxmlformats.org/officeDocument/2006/relationships/hyperlink" Id="rId72" Target="https://www.gnu.org/software/bash/manual/" TargetMode="External" /><Relationship Type="http://schemas.openxmlformats.org/officeDocument/2006/relationships/hyperlink" Id="rId7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Феоктистов Владислав Сергеевич</dc:creator>
  <dc:language>ru-RU</dc:language>
  <cp:keywords/>
  <dcterms:created xsi:type="dcterms:W3CDTF">2022-10-20T17:29:31Z</dcterms:created>
  <dcterms:modified xsi:type="dcterms:W3CDTF">2022-10-20T17:29:31Z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