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636A9A10"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CF5D8A" w:rsidRPr="00CF5D8A">
        <w:rPr>
          <w:u w:val="single"/>
        </w:rPr>
        <w:t>Вентили балластных цистерн</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Content>
            <w:tc>
              <w:tcPr>
                <w:tcW w:w="3391" w:type="dxa"/>
                <w:tcBorders>
                  <w:bottom w:val="single" w:sz="4" w:space="0" w:color="auto"/>
                </w:tcBorders>
              </w:tcPr>
              <w:p w14:paraId="27225C08" w14:textId="77777777" w:rsidR="00A32C33" w:rsidRPr="002B7598" w:rsidRDefault="00A32C33" w:rsidP="00090AA6">
                <w:pPr>
                  <w:widowControl w:val="0"/>
                  <w:spacing w:line="240" w:lineRule="auto"/>
                  <w:ind w:firstLine="0"/>
                  <w:jc w:val="center"/>
                  <w:rPr>
                    <w:color w:val="000000"/>
                    <w:lang w:bidi="ru-RU"/>
                  </w:rPr>
                </w:pPr>
                <w:r>
                  <w:rPr>
                    <w:color w:val="000000"/>
                    <w:lang w:bidi="ru-RU"/>
                  </w:rPr>
                  <w:t>Сухарев Н. В.</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2DBAE67E" w:rsidR="00A32C33" w:rsidRDefault="00000000" w:rsidP="00090AA6">
            <w:pPr>
              <w:spacing w:line="240" w:lineRule="auto"/>
              <w:ind w:firstLine="0"/>
              <w:jc w:val="center"/>
              <w:rPr>
                <w:rFonts w:eastAsia="Calibri"/>
                <w:sz w:val="20"/>
                <w:szCs w:val="20"/>
              </w:rPr>
            </w:pPr>
            <w:sdt>
              <w:sdtPr>
                <w:id w:val="-360287988"/>
                <w:placeholder>
                  <w:docPart w:val="ABD85B537AAB41CFBA03CA5AA021F0CF"/>
                </w:placeholder>
                <w:text/>
              </w:sdtPr>
              <w:sdtContent>
                <w:r w:rsidR="00A32C33" w:rsidRPr="00696D6C">
                  <w:t>ИВТ</w:t>
                </w:r>
                <w:r w:rsidR="00A32C33" w:rsidRPr="00696D6C">
                  <w:rPr>
                    <w:lang w:val="en-US"/>
                  </w:rPr>
                  <w:t>/</w:t>
                </w:r>
                <w:r w:rsidR="00A32C33" w:rsidRPr="00696D6C">
                  <w:t>б-</w:t>
                </w:r>
                <w:r w:rsidR="00824817" w:rsidRPr="00696D6C">
                  <w:t>20–2</w:t>
                </w:r>
                <w:r w:rsidR="00A32C33" w:rsidRPr="00696D6C">
                  <w:t>-о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656274E5"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Content>
          <w:r w:rsidR="00582517">
            <w:rPr>
              <w:u w:val="single"/>
            </w:rPr>
            <w:t>09.04.01 Информатика и вычислительная техника</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«ИТиКС»</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Content>
        <w:p w14:paraId="35AB0069" w14:textId="023AE58B"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3</w:t>
            </w:r>
            <w:r w:rsidR="00A8652B" w:rsidRPr="00A8652B">
              <w:rPr>
                <w:noProof/>
                <w:webHidden/>
                <w:sz w:val="28"/>
                <w:szCs w:val="28"/>
              </w:rPr>
              <w:fldChar w:fldCharType="end"/>
            </w:r>
          </w:hyperlink>
        </w:p>
        <w:p w14:paraId="7C3B8845" w14:textId="2B26B1C5"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3</w:t>
            </w:r>
            <w:r w:rsidR="00A8652B" w:rsidRPr="00A8652B">
              <w:rPr>
                <w:noProof/>
                <w:webHidden/>
                <w:sz w:val="28"/>
                <w:szCs w:val="28"/>
              </w:rPr>
              <w:fldChar w:fldCharType="end"/>
            </w:r>
          </w:hyperlink>
        </w:p>
        <w:p w14:paraId="12E7ADE3" w14:textId="4283DC28"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3</w:t>
            </w:r>
            <w:r w:rsidR="00A8652B" w:rsidRPr="00A8652B">
              <w:rPr>
                <w:noProof/>
                <w:webHidden/>
                <w:sz w:val="28"/>
                <w:szCs w:val="28"/>
              </w:rPr>
              <w:fldChar w:fldCharType="end"/>
            </w:r>
          </w:hyperlink>
        </w:p>
        <w:p w14:paraId="5D06A9D1" w14:textId="712002E6"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4</w:t>
            </w:r>
            <w:r w:rsidR="00A8652B" w:rsidRPr="00A8652B">
              <w:rPr>
                <w:noProof/>
                <w:webHidden/>
                <w:sz w:val="28"/>
                <w:szCs w:val="28"/>
              </w:rPr>
              <w:fldChar w:fldCharType="end"/>
            </w:r>
          </w:hyperlink>
        </w:p>
        <w:p w14:paraId="63AD9449" w14:textId="79A20627"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4</w:t>
            </w:r>
            <w:r w:rsidR="00A8652B" w:rsidRPr="00A8652B">
              <w:rPr>
                <w:noProof/>
                <w:webHidden/>
                <w:sz w:val="28"/>
                <w:szCs w:val="28"/>
              </w:rPr>
              <w:fldChar w:fldCharType="end"/>
            </w:r>
          </w:hyperlink>
        </w:p>
        <w:p w14:paraId="151E9ACD" w14:textId="54D94592"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4</w:t>
            </w:r>
            <w:r w:rsidR="00A8652B" w:rsidRPr="00A8652B">
              <w:rPr>
                <w:noProof/>
                <w:webHidden/>
                <w:sz w:val="28"/>
                <w:szCs w:val="28"/>
              </w:rPr>
              <w:fldChar w:fldCharType="end"/>
            </w:r>
          </w:hyperlink>
        </w:p>
        <w:p w14:paraId="52255BA0" w14:textId="1F636EC0" w:rsidR="00A8652B" w:rsidRPr="00A8652B" w:rsidRDefault="00000000"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5</w:t>
            </w:r>
            <w:r w:rsidR="00A8652B" w:rsidRPr="00A8652B">
              <w:rPr>
                <w:noProof/>
                <w:webHidden/>
                <w:sz w:val="28"/>
                <w:szCs w:val="28"/>
              </w:rPr>
              <w:fldChar w:fldCharType="end"/>
            </w:r>
          </w:hyperlink>
        </w:p>
        <w:p w14:paraId="7E38E8F4" w14:textId="41D6A50F"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5</w:t>
            </w:r>
            <w:r w:rsidR="00A8652B" w:rsidRPr="00A8652B">
              <w:rPr>
                <w:noProof/>
                <w:webHidden/>
                <w:sz w:val="28"/>
                <w:szCs w:val="28"/>
              </w:rPr>
              <w:fldChar w:fldCharType="end"/>
            </w:r>
          </w:hyperlink>
        </w:p>
        <w:p w14:paraId="684DE50E" w14:textId="726321E3"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7</w:t>
            </w:r>
            <w:r w:rsidR="00A8652B" w:rsidRPr="00A8652B">
              <w:rPr>
                <w:noProof/>
                <w:webHidden/>
                <w:sz w:val="28"/>
                <w:szCs w:val="28"/>
              </w:rPr>
              <w:fldChar w:fldCharType="end"/>
            </w:r>
          </w:hyperlink>
        </w:p>
        <w:p w14:paraId="0F593337" w14:textId="12D13CA2"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7</w:t>
            </w:r>
            <w:r w:rsidR="00A8652B" w:rsidRPr="00A8652B">
              <w:rPr>
                <w:noProof/>
                <w:webHidden/>
                <w:sz w:val="28"/>
                <w:szCs w:val="28"/>
              </w:rPr>
              <w:fldChar w:fldCharType="end"/>
            </w:r>
          </w:hyperlink>
        </w:p>
        <w:p w14:paraId="6C0E7262" w14:textId="7AFE563E"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9</w:t>
            </w:r>
            <w:r w:rsidR="00A8652B" w:rsidRPr="00A8652B">
              <w:rPr>
                <w:noProof/>
                <w:webHidden/>
                <w:sz w:val="28"/>
                <w:szCs w:val="28"/>
              </w:rPr>
              <w:fldChar w:fldCharType="end"/>
            </w:r>
          </w:hyperlink>
        </w:p>
        <w:p w14:paraId="01471CA8" w14:textId="3F4B2B1C" w:rsidR="00A8652B" w:rsidRPr="00A8652B" w:rsidRDefault="00000000"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CF6283">
              <w:rPr>
                <w:noProof/>
                <w:webHidden/>
                <w:sz w:val="28"/>
                <w:szCs w:val="28"/>
              </w:rPr>
              <w:t>12</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1" w:name="_Toc183979096"/>
      <w:r>
        <w:rPr>
          <w:rFonts w:eastAsia="Calibri"/>
        </w:rPr>
        <w:lastRenderedPageBreak/>
        <w:t>1 ВВЕДЕНИЕ</w:t>
      </w:r>
      <w:bookmarkEnd w:id="1"/>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2" w:name="_Toc183979097"/>
      <w:r>
        <w:rPr>
          <w:rFonts w:eastAsia="Calibri"/>
        </w:rPr>
        <w:t xml:space="preserve">1.1 </w:t>
      </w:r>
      <w:r w:rsidR="00A32C33" w:rsidRPr="00A32C33">
        <w:rPr>
          <w:rFonts w:eastAsia="Calibri"/>
        </w:rPr>
        <w:t>Общие сведения</w:t>
      </w:r>
      <w:bookmarkEnd w:id="2"/>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54290B0C" w:rsidR="00D7537C" w:rsidRDefault="00582517" w:rsidP="00D7537C">
            <w:pPr>
              <w:pStyle w:val="afd"/>
              <w:rPr>
                <w:rFonts w:eastAsia="Calibri"/>
              </w:rPr>
            </w:pPr>
            <w:r>
              <w:rPr>
                <w:rFonts w:eastAsia="Calibri"/>
                <w:lang w:val="en-US"/>
              </w:rPr>
              <w:t>A</w:t>
            </w:r>
          </w:p>
        </w:tc>
        <w:tc>
          <w:tcPr>
            <w:tcW w:w="7570" w:type="dxa"/>
          </w:tcPr>
          <w:p w14:paraId="233B8C38" w14:textId="10C7F8FF" w:rsidR="00D7537C" w:rsidRDefault="00704259" w:rsidP="00D7537C">
            <w:pPr>
              <w:pStyle w:val="afd"/>
              <w:rPr>
                <w:rFonts w:eastAsia="Calibri"/>
              </w:rPr>
            </w:pPr>
            <w:r>
              <w:rPr>
                <w:rFonts w:eastAsia="Calibri"/>
              </w:rPr>
              <w:t>Аксиометр</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r w:rsidRPr="006634F2">
              <w:rPr>
                <w:rFonts w:eastAsia="Calibri"/>
              </w:rPr>
              <w:t>Interface Control Document</w:t>
            </w:r>
          </w:p>
        </w:tc>
      </w:tr>
      <w:tr w:rsidR="00862800" w14:paraId="42D647E3" w14:textId="77777777" w:rsidTr="00C7440A">
        <w:tc>
          <w:tcPr>
            <w:tcW w:w="1775" w:type="dxa"/>
          </w:tcPr>
          <w:p w14:paraId="1102860B" w14:textId="3190B093" w:rsidR="00862800" w:rsidRPr="006634F2" w:rsidRDefault="00862800" w:rsidP="00D7537C">
            <w:pPr>
              <w:pStyle w:val="afd"/>
              <w:rPr>
                <w:rFonts w:eastAsia="Calibri"/>
              </w:rPr>
            </w:pPr>
            <w:r>
              <w:rPr>
                <w:lang w:val="en-US"/>
              </w:rPr>
              <w:t>MBS</w:t>
            </w:r>
          </w:p>
        </w:tc>
        <w:tc>
          <w:tcPr>
            <w:tcW w:w="7570" w:type="dxa"/>
          </w:tcPr>
          <w:p w14:paraId="28DD0A06" w14:textId="2D796892" w:rsidR="00862800" w:rsidRPr="006634F2" w:rsidRDefault="00862800" w:rsidP="00D7537C">
            <w:pPr>
              <w:pStyle w:val="afd"/>
              <w:rPr>
                <w:rFonts w:eastAsia="Calibri"/>
              </w:rPr>
            </w:pPr>
            <w:r>
              <w:rPr>
                <w:rFonts w:eastAsia="Calibri"/>
              </w:rPr>
              <w:t>Главная балластная цистерна</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3"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3"/>
    </w:p>
    <w:p w14:paraId="204916CC" w14:textId="77777777" w:rsidR="00A32C33" w:rsidRPr="00DE3113" w:rsidRDefault="00A32C33" w:rsidP="00DE3113">
      <w:pPr>
        <w:pStyle w:val="af1"/>
      </w:pPr>
    </w:p>
    <w:p w14:paraId="2EFC56FE" w14:textId="336EBB2C"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582517">
        <w:rPr>
          <w:lang w:val="en-US"/>
        </w:rPr>
        <w:t>A</w:t>
      </w:r>
      <w:r w:rsidRPr="00DE3113">
        <w:t>.</w:t>
      </w:r>
    </w:p>
    <w:p w14:paraId="21A221AC" w14:textId="7AFF7073"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582517">
        <w:rPr>
          <w:lang w:val="en-US"/>
        </w:rPr>
        <w:t>A</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2ABBA785" w:rsidR="00A32C33" w:rsidRPr="00DE3113" w:rsidRDefault="00A32C33">
      <w:pPr>
        <w:pStyle w:val="af5"/>
        <w:numPr>
          <w:ilvl w:val="0"/>
          <w:numId w:val="1"/>
        </w:numPr>
      </w:pPr>
      <w:r w:rsidRPr="00DE3113">
        <w:t xml:space="preserve">Разработка и оптимизация системы ММ </w:t>
      </w:r>
      <w:r w:rsidR="00582517">
        <w:rPr>
          <w:lang w:val="en-US"/>
        </w:rPr>
        <w:t>A</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lastRenderedPageBreak/>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4" w:name="_Toc183979099"/>
      <w:r>
        <w:rPr>
          <w:rFonts w:eastAsia="Calibri"/>
          <w:lang w:val="en-US"/>
        </w:rPr>
        <w:t xml:space="preserve">1.3 </w:t>
      </w:r>
      <w:r w:rsidR="00A32C33" w:rsidRPr="00A32C33">
        <w:rPr>
          <w:rFonts w:eastAsia="Calibri"/>
        </w:rPr>
        <w:t>Объект разработки</w:t>
      </w:r>
      <w:bookmarkEnd w:id="4"/>
    </w:p>
    <w:p w14:paraId="300A9441" w14:textId="77777777" w:rsidR="00A32C33" w:rsidRPr="00E82A06" w:rsidRDefault="00A32C33" w:rsidP="00E82A06">
      <w:pPr>
        <w:pStyle w:val="af1"/>
      </w:pPr>
    </w:p>
    <w:p w14:paraId="20E64952" w14:textId="45876EAA" w:rsidR="00A32C33" w:rsidRPr="00E82A06" w:rsidRDefault="00A32C33" w:rsidP="00E82A06">
      <w:pPr>
        <w:pStyle w:val="af1"/>
      </w:pPr>
      <w:r w:rsidRPr="00E82A06">
        <w:t xml:space="preserve">Объектом разработки является ММ </w:t>
      </w:r>
      <w:r w:rsidR="00582517">
        <w:t>A</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582517">
        <w:t>A</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5" w:name="_Toc183979100"/>
      <w:r>
        <w:rPr>
          <w:rFonts w:eastAsia="Calibri"/>
        </w:rPr>
        <w:t>1.4</w:t>
      </w:r>
      <w:r w:rsidR="00A32C33" w:rsidRPr="00A32C33">
        <w:rPr>
          <w:rFonts w:eastAsia="Calibri"/>
        </w:rPr>
        <w:t xml:space="preserve"> Цель работы</w:t>
      </w:r>
      <w:bookmarkEnd w:id="5"/>
    </w:p>
    <w:p w14:paraId="2497D3CC" w14:textId="77777777" w:rsidR="00A32C33" w:rsidRPr="003D66D2" w:rsidRDefault="00A32C33" w:rsidP="003D66D2">
      <w:pPr>
        <w:pStyle w:val="af1"/>
      </w:pPr>
    </w:p>
    <w:p w14:paraId="40A0A579" w14:textId="4E51DFBA"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582517">
        <w:rPr>
          <w:lang w:val="en-US"/>
        </w:rPr>
        <w:t>A</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6" w:name="_Toc183979101"/>
      <w:r w:rsidRPr="003D66D2">
        <w:rPr>
          <w:rFonts w:eastAsia="Calibri"/>
        </w:rPr>
        <w:t>1.5</w:t>
      </w:r>
      <w:r w:rsidR="00A32C33" w:rsidRPr="003D66D2">
        <w:t xml:space="preserve"> Используемые документы</w:t>
      </w:r>
      <w:bookmarkEnd w:id="6"/>
    </w:p>
    <w:p w14:paraId="0F7FCE7D" w14:textId="77777777" w:rsidR="00A32C33" w:rsidRPr="003D66D2" w:rsidRDefault="00A32C33" w:rsidP="003D66D2">
      <w:pPr>
        <w:pStyle w:val="af1"/>
      </w:pPr>
    </w:p>
    <w:p w14:paraId="36CA4C5A" w14:textId="48EF564A" w:rsidR="00A32C33" w:rsidRPr="000E4331" w:rsidRDefault="00A32C33" w:rsidP="00704259">
      <w:pPr>
        <w:pStyle w:val="af1"/>
      </w:pPr>
      <w:r w:rsidRPr="003D66D2">
        <w:t xml:space="preserve">При разработке текущей итерации модели </w:t>
      </w:r>
      <w:r w:rsidR="00582517">
        <w:rPr>
          <w:lang w:val="en-US"/>
        </w:rPr>
        <w:t>A</w:t>
      </w:r>
      <w:r w:rsidRPr="003D66D2">
        <w:t xml:space="preserve"> использовались следующие материалы</w:t>
      </w:r>
      <w:r w:rsidR="003D66D2" w:rsidRPr="003D66D2">
        <w:t>.</w:t>
      </w:r>
      <w:r w:rsidR="00704259" w:rsidRPr="00704259">
        <w:t xml:space="preserve"> </w:t>
      </w:r>
      <w:r w:rsidR="000E4331" w:rsidRPr="003D66D2">
        <w:t xml:space="preserve">Документ контроля интерфейсов </w:t>
      </w:r>
      <w:r w:rsidR="000E4331">
        <w:t>подсистемы «Центральный отсек»</w:t>
      </w:r>
      <w:r w:rsidR="000E4331" w:rsidRPr="003D66D2">
        <w:t xml:space="preserve"> – </w:t>
      </w:r>
      <w:r w:rsidR="000E4331" w:rsidRPr="000E4331">
        <w:rPr>
          <w:lang w:val="en-US"/>
        </w:rPr>
        <w:t>cc</w:t>
      </w:r>
      <w:r w:rsidR="000E4331" w:rsidRPr="0035058A">
        <w:t>_requirements</w:t>
      </w:r>
      <w:r w:rsidR="000E4331" w:rsidRPr="000E4331">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7" w:name="_Toc183979102"/>
      <w:r w:rsidRPr="00554C05">
        <w:rPr>
          <w:rFonts w:eastAsia="Calibri"/>
        </w:rPr>
        <w:lastRenderedPageBreak/>
        <w:t xml:space="preserve">2 </w:t>
      </w:r>
      <w:r w:rsidRPr="00A32C33">
        <w:rPr>
          <w:rFonts w:eastAsia="Calibri"/>
        </w:rPr>
        <w:t>РЕЗУЛЬТАТЫ РАБОТЫ</w:t>
      </w:r>
      <w:bookmarkEnd w:id="7"/>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8" w:name="_Toc183979103"/>
      <w:r w:rsidRPr="00554C05">
        <w:t xml:space="preserve">2.1 </w:t>
      </w:r>
      <w:r w:rsidR="00A32C33" w:rsidRPr="00554C05">
        <w:t>Описание модели системы</w:t>
      </w:r>
      <w:bookmarkEnd w:id="8"/>
    </w:p>
    <w:p w14:paraId="2E57A657" w14:textId="77777777" w:rsidR="00A32C33" w:rsidRPr="00554C05" w:rsidRDefault="00A32C33" w:rsidP="00554C05">
      <w:pPr>
        <w:pStyle w:val="af1"/>
      </w:pPr>
    </w:p>
    <w:p w14:paraId="73953689" w14:textId="2A7FA4F7"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582517">
        <w:rPr>
          <w:rFonts w:eastAsia="Calibri"/>
          <w:lang w:val="en-US"/>
        </w:rPr>
        <w:t>A</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02CEDBBA" w14:textId="7030AD06" w:rsidR="008A5502" w:rsidRDefault="008A5502" w:rsidP="008A5502">
      <w:pPr>
        <w:pStyle w:val="af1"/>
      </w:pPr>
      <w:r>
        <w:t xml:space="preserve">Модуль </w:t>
      </w:r>
      <w:r>
        <w:t>«</w:t>
      </w:r>
      <w:r>
        <w:t>Аксиометр</w:t>
      </w:r>
      <w:r>
        <w:t>»</w:t>
      </w:r>
      <w:r>
        <w:t xml:space="preserve"> на подводной лодке используется для высокоточного измерения угловых скоростей и ориентации корпуса в пространстве. Основные функции</w:t>
      </w:r>
      <w:r>
        <w:t>.</w:t>
      </w:r>
    </w:p>
    <w:p w14:paraId="54D023EB" w14:textId="77777777" w:rsidR="008A5502" w:rsidRDefault="008A5502" w:rsidP="008A5502">
      <w:pPr>
        <w:pStyle w:val="af5"/>
        <w:numPr>
          <w:ilvl w:val="0"/>
          <w:numId w:val="11"/>
        </w:numPr>
      </w:pPr>
      <w:r>
        <w:t>Гироскопическая стабилизация — измерение угловых отклонений.</w:t>
      </w:r>
    </w:p>
    <w:p w14:paraId="4FFED4CD" w14:textId="77777777" w:rsidR="008A5502" w:rsidRDefault="008A5502" w:rsidP="008A5502">
      <w:pPr>
        <w:pStyle w:val="af5"/>
        <w:numPr>
          <w:ilvl w:val="0"/>
          <w:numId w:val="11"/>
        </w:numPr>
      </w:pPr>
      <w:r>
        <w:t>Навигационная поддержка — интеграция с системами управления движением.</w:t>
      </w:r>
    </w:p>
    <w:p w14:paraId="7E369290" w14:textId="77777777" w:rsidR="008A5502" w:rsidRDefault="008A5502" w:rsidP="008A5502">
      <w:pPr>
        <w:pStyle w:val="af5"/>
        <w:numPr>
          <w:ilvl w:val="0"/>
          <w:numId w:val="11"/>
        </w:numPr>
      </w:pPr>
      <w:r>
        <w:t>Диагностика крена и дифферента — контроль положения лодки.</w:t>
      </w:r>
    </w:p>
    <w:p w14:paraId="0EA19334" w14:textId="77777777" w:rsidR="008A5502" w:rsidRDefault="008A5502" w:rsidP="008A5502">
      <w:pPr>
        <w:pStyle w:val="af5"/>
        <w:numPr>
          <w:ilvl w:val="0"/>
          <w:numId w:val="11"/>
        </w:numPr>
      </w:pPr>
      <w:r>
        <w:t>Устойчивость к внешним воздействиям — компенсирует вибрации и гидродинамические нагрузки.</w:t>
      </w:r>
    </w:p>
    <w:p w14:paraId="6798F327" w14:textId="77777777" w:rsidR="008A5502" w:rsidRDefault="008A5502" w:rsidP="008A5502">
      <w:pPr>
        <w:pStyle w:val="af1"/>
      </w:pPr>
      <w:r>
        <w:t>Обычно модуль интегрируется с навигационной системой для обеспечения автономности движения и выполнения боевых задач.</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24DE1071" w:rsidR="00BA49A2" w:rsidRPr="00993B41" w:rsidRDefault="00993B41" w:rsidP="001F6AAD">
      <w:pPr>
        <w:pStyle w:val="af1"/>
      </w:pPr>
      <w:r>
        <w:t>На рисунке 2.1</w:t>
      </w:r>
      <w:r w:rsidR="001F6AAD">
        <w:t xml:space="preserve"> представлена схема управления несколькими клапанами, включая заполнение (</w:t>
      </w:r>
      <w:r w:rsidR="00395826">
        <w:rPr>
          <w:lang w:val="en-US"/>
        </w:rPr>
        <w:t>fillingValve</w:t>
      </w:r>
      <w:r w:rsidR="00395826" w:rsidRPr="001F6AAD">
        <w:t>1-5</w:t>
      </w:r>
      <w:r w:rsidR="001F6AAD">
        <w:t>)</w:t>
      </w:r>
      <w:r w:rsidR="001F6AAD" w:rsidRPr="001F6AAD">
        <w:t xml:space="preserve"> </w:t>
      </w:r>
      <w:r w:rsidR="001F6AAD">
        <w:t>и продувку (</w:t>
      </w:r>
      <w:r w:rsidR="001F6AAD">
        <w:rPr>
          <w:lang w:val="en-US"/>
        </w:rPr>
        <w:t>purgingValves</w:t>
      </w:r>
      <w:r w:rsidR="001F6AAD">
        <w:t>)</w:t>
      </w:r>
    </w:p>
    <w:p w14:paraId="56269BC2" w14:textId="55E80436" w:rsidR="001F6AAD" w:rsidRDefault="001F6AAD" w:rsidP="001F6AAD">
      <w:pPr>
        <w:pStyle w:val="af1"/>
      </w:pPr>
      <w:r>
        <w:t>Реализованные функции.</w:t>
      </w:r>
    </w:p>
    <w:p w14:paraId="4833148E" w14:textId="39B821ED" w:rsidR="001F6AAD" w:rsidRDefault="001F6AAD">
      <w:pPr>
        <w:pStyle w:val="af5"/>
        <w:numPr>
          <w:ilvl w:val="0"/>
          <w:numId w:val="4"/>
        </w:numPr>
      </w:pPr>
      <w:r>
        <w:t xml:space="preserve">Каждый блок получает сигнал </w:t>
      </w:r>
      <w:r>
        <w:rPr>
          <w:lang w:val="en-US"/>
        </w:rPr>
        <w:t>MBS</w:t>
      </w:r>
      <w:r w:rsidRPr="001F6AAD">
        <w:t>_</w:t>
      </w:r>
      <w:r>
        <w:rPr>
          <w:lang w:val="en-US"/>
        </w:rPr>
        <w:t>targetFillingValveX</w:t>
      </w:r>
      <w:r w:rsidRPr="001F6AAD">
        <w:t xml:space="preserve"> </w:t>
      </w:r>
      <w:r>
        <w:t xml:space="preserve">или </w:t>
      </w:r>
      <w:r>
        <w:rPr>
          <w:lang w:val="en-US"/>
        </w:rPr>
        <w:t>MBS</w:t>
      </w:r>
      <w:r w:rsidRPr="001F6AAD">
        <w:t>_</w:t>
      </w:r>
      <w:r>
        <w:rPr>
          <w:lang w:val="en-US"/>
        </w:rPr>
        <w:t>targetPurgingValves</w:t>
      </w:r>
      <w:r>
        <w:t>, представляющий целевое значение для управления клапаном.</w:t>
      </w:r>
    </w:p>
    <w:p w14:paraId="6702C4DA" w14:textId="65F399F3" w:rsidR="00CA18F1" w:rsidRDefault="00CA18F1">
      <w:pPr>
        <w:pStyle w:val="af5"/>
        <w:numPr>
          <w:ilvl w:val="0"/>
          <w:numId w:val="4"/>
        </w:numPr>
      </w:pPr>
      <w:r>
        <w:t>Пороговая обработка:</w:t>
      </w:r>
    </w:p>
    <w:p w14:paraId="597A8C39" w14:textId="3F0BEAC5" w:rsidR="00CA18F1" w:rsidRPr="00CA18F1" w:rsidRDefault="00CA18F1">
      <w:pPr>
        <w:pStyle w:val="af5"/>
        <w:numPr>
          <w:ilvl w:val="0"/>
          <w:numId w:val="5"/>
        </w:numPr>
      </w:pPr>
      <w:r>
        <w:t xml:space="preserve">целевое значение </w:t>
      </w:r>
      <m:oMath>
        <m:r>
          <w:rPr>
            <w:rFonts w:ascii="Cambria Math" w:hAnsi="Cambria Math"/>
          </w:rPr>
          <m:t>≥20</m:t>
        </m:r>
      </m:oMath>
      <w:r w:rsidRPr="00CA18F1">
        <w:t xml:space="preserve"> </w:t>
      </w:r>
      <w:r>
        <w:t xml:space="preserve">или </w:t>
      </w:r>
      <m:oMath>
        <m:r>
          <w:rPr>
            <w:rFonts w:ascii="Cambria Math" w:hAnsi="Cambria Math"/>
          </w:rPr>
          <m:t>≤</m:t>
        </m:r>
        <m:r>
          <w:rPr>
            <w:rFonts w:ascii="Cambria Math" w:hAnsi="Cambria Math"/>
            <w:lang w:val="en-US"/>
          </w:rPr>
          <m:t>-20</m:t>
        </m:r>
      </m:oMath>
      <w:r>
        <w:rPr>
          <w:lang w:val="en-US"/>
        </w:rPr>
        <w:t>;</w:t>
      </w:r>
    </w:p>
    <w:p w14:paraId="023CE157" w14:textId="59BD9F94" w:rsidR="00CA18F1" w:rsidRDefault="00CA18F1">
      <w:pPr>
        <w:pStyle w:val="af5"/>
        <w:numPr>
          <w:ilvl w:val="0"/>
          <w:numId w:val="5"/>
        </w:numPr>
      </w:pPr>
      <w:r>
        <w:t>если условие выполняется, генерируются управляющий сигнал.</w:t>
      </w:r>
    </w:p>
    <w:p w14:paraId="427C67D4" w14:textId="13083D8D" w:rsidR="00CA18F1" w:rsidRPr="00395826" w:rsidRDefault="00CA18F1">
      <w:pPr>
        <w:pStyle w:val="af5"/>
        <w:numPr>
          <w:ilvl w:val="0"/>
          <w:numId w:val="4"/>
        </w:numPr>
      </w:pPr>
      <w:r>
        <w:t xml:space="preserve">Управляющий сигнал интегрируется через блоки </w:t>
      </w:r>
      <m:oMath>
        <m:r>
          <w:rPr>
            <w:rFonts w:ascii="Cambria Math" w:hAnsi="Cambria Math"/>
          </w:rPr>
          <m:t>1/</m:t>
        </m:r>
        <m:r>
          <w:rPr>
            <w:rFonts w:ascii="Cambria Math" w:hAnsi="Cambria Math"/>
            <w:lang w:val="en-US"/>
          </w:rPr>
          <m:t>s</m:t>
        </m:r>
      </m:oMath>
      <w:r>
        <w:t>, создавая выходной сигнал для управления соответствующим клапаном.</w:t>
      </w:r>
    </w:p>
    <w:p w14:paraId="4D7C6D83" w14:textId="308968D6" w:rsidR="00395826" w:rsidRDefault="00395826">
      <w:pPr>
        <w:pStyle w:val="af5"/>
        <w:numPr>
          <w:ilvl w:val="0"/>
          <w:numId w:val="4"/>
        </w:numPr>
      </w:pPr>
      <w:r>
        <w:lastRenderedPageBreak/>
        <w:t>Если целевое значение не соответствует условиям, сигнал сбрасывается.</w:t>
      </w:r>
    </w:p>
    <w:p w14:paraId="2A5DD167" w14:textId="28EFA7B5" w:rsidR="00CA18F1" w:rsidRDefault="00CA18F1" w:rsidP="00CA18F1">
      <w:pPr>
        <w:pStyle w:val="af3"/>
        <w:rPr>
          <w:lang w:val="en-US"/>
        </w:rPr>
      </w:pPr>
      <w:r>
        <w:rPr>
          <w:noProof/>
          <w:lang w:val="en-US"/>
        </w:rPr>
        <w:drawing>
          <wp:inline distT="0" distB="0" distL="0" distR="0" wp14:anchorId="0D0192EA" wp14:editId="22356A0B">
            <wp:extent cx="5940425" cy="7687310"/>
            <wp:effectExtent l="0" t="0" r="317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7687310"/>
                    </a:xfrm>
                    <a:prstGeom prst="rect">
                      <a:avLst/>
                    </a:prstGeom>
                  </pic:spPr>
                </pic:pic>
              </a:graphicData>
            </a:graphic>
          </wp:inline>
        </w:drawing>
      </w:r>
    </w:p>
    <w:p w14:paraId="1CABD1DA" w14:textId="75CFA679" w:rsidR="00CA18F1" w:rsidRPr="00993B41" w:rsidRDefault="00CA18F1" w:rsidP="00CA18F1">
      <w:pPr>
        <w:pStyle w:val="af3"/>
        <w:rPr>
          <w:lang w:val="en-US"/>
        </w:rPr>
      </w:pPr>
      <w:r>
        <w:t xml:space="preserve">Рисунок 2.1 </w:t>
      </w:r>
      <w:r w:rsidR="00993B41">
        <w:t>–</w:t>
      </w:r>
      <w:r>
        <w:t xml:space="preserve"> </w:t>
      </w:r>
      <w:r w:rsidR="00993B41">
        <w:t xml:space="preserve">Схема </w:t>
      </w:r>
      <w:r w:rsidR="00582517">
        <w:rPr>
          <w:lang w:val="en-US"/>
        </w:rPr>
        <w:t>A</w:t>
      </w:r>
    </w:p>
    <w:p w14:paraId="73E8FA66" w14:textId="77777777" w:rsidR="009D1130" w:rsidRDefault="009D1130" w:rsidP="00CA18F1">
      <w:pPr>
        <w:pStyle w:val="af1"/>
      </w:pPr>
    </w:p>
    <w:p w14:paraId="1ADDCC3F" w14:textId="77777777" w:rsidR="007841B4" w:rsidRDefault="007841B4" w:rsidP="00CA18F1">
      <w:pPr>
        <w:pStyle w:val="af1"/>
      </w:pPr>
    </w:p>
    <w:p w14:paraId="490A197F" w14:textId="77777777" w:rsidR="007841B4" w:rsidRDefault="007841B4" w:rsidP="00CA18F1">
      <w:pPr>
        <w:pStyle w:val="af1"/>
      </w:pPr>
    </w:p>
    <w:p w14:paraId="26D477E1" w14:textId="77777777" w:rsidR="007841B4" w:rsidRPr="001F6AAD" w:rsidRDefault="007841B4" w:rsidP="00CA18F1">
      <w:pPr>
        <w:pStyle w:val="af1"/>
      </w:pPr>
    </w:p>
    <w:p w14:paraId="673CA306" w14:textId="65774339" w:rsidR="00A32C33" w:rsidRDefault="00395826" w:rsidP="00CA18F1">
      <w:pPr>
        <w:pStyle w:val="af1"/>
      </w:pPr>
      <w:r>
        <w:t>Режимы.</w:t>
      </w:r>
    </w:p>
    <w:p w14:paraId="53B71192" w14:textId="64BBC425" w:rsidR="00395826" w:rsidRDefault="00395826">
      <w:pPr>
        <w:pStyle w:val="af5"/>
        <w:numPr>
          <w:ilvl w:val="0"/>
          <w:numId w:val="6"/>
        </w:numPr>
      </w:pPr>
      <w:r>
        <w:t>Заполнение:</w:t>
      </w:r>
    </w:p>
    <w:p w14:paraId="1FD3C619" w14:textId="69E3109D" w:rsidR="00395826" w:rsidRPr="00395826" w:rsidRDefault="00395826">
      <w:pPr>
        <w:pStyle w:val="af5"/>
        <w:numPr>
          <w:ilvl w:val="0"/>
          <w:numId w:val="7"/>
        </w:numPr>
      </w:pPr>
      <w:r>
        <w:t xml:space="preserve">для клапанов </w:t>
      </w:r>
      <w:r>
        <w:rPr>
          <w:lang w:val="en-US"/>
        </w:rPr>
        <w:t>fillingValve</w:t>
      </w:r>
      <w:r w:rsidRPr="001F6AAD">
        <w:t>1-5</w:t>
      </w:r>
      <w:r>
        <w:rPr>
          <w:lang w:val="en-US"/>
        </w:rPr>
        <w:t>;</w:t>
      </w:r>
    </w:p>
    <w:p w14:paraId="168B72B8" w14:textId="2222B752" w:rsidR="00395826" w:rsidRDefault="00395826">
      <w:pPr>
        <w:pStyle w:val="af5"/>
        <w:numPr>
          <w:ilvl w:val="0"/>
          <w:numId w:val="7"/>
        </w:numPr>
      </w:pPr>
      <w:r>
        <w:t xml:space="preserve">управление зависит от </w:t>
      </w:r>
      <w:r>
        <w:rPr>
          <w:lang w:val="en-US"/>
        </w:rPr>
        <w:t>MBS</w:t>
      </w:r>
      <w:r w:rsidRPr="001F6AAD">
        <w:t>_</w:t>
      </w:r>
      <w:r>
        <w:rPr>
          <w:lang w:val="en-US"/>
        </w:rPr>
        <w:t>targetFillingValveX</w:t>
      </w:r>
      <w:r>
        <w:t>.</w:t>
      </w:r>
    </w:p>
    <w:p w14:paraId="7959F4E0" w14:textId="1CAE45E3" w:rsidR="00395826" w:rsidRDefault="00395826">
      <w:pPr>
        <w:pStyle w:val="af5"/>
        <w:numPr>
          <w:ilvl w:val="0"/>
          <w:numId w:val="6"/>
        </w:numPr>
      </w:pPr>
      <w:r>
        <w:t>Продувка:</w:t>
      </w:r>
    </w:p>
    <w:p w14:paraId="214C0C69" w14:textId="0C5E948D" w:rsidR="00395826" w:rsidRDefault="00395826">
      <w:pPr>
        <w:pStyle w:val="af5"/>
        <w:numPr>
          <w:ilvl w:val="0"/>
          <w:numId w:val="8"/>
        </w:numPr>
      </w:pPr>
      <w:r>
        <w:t xml:space="preserve">для клапанов </w:t>
      </w:r>
      <w:r>
        <w:rPr>
          <w:lang w:val="en-US"/>
        </w:rPr>
        <w:t>purgingValves;</w:t>
      </w:r>
    </w:p>
    <w:p w14:paraId="15F226C3" w14:textId="03671D9D" w:rsidR="00395826" w:rsidRPr="00BA49A2" w:rsidRDefault="00395826">
      <w:pPr>
        <w:pStyle w:val="af5"/>
        <w:numPr>
          <w:ilvl w:val="0"/>
          <w:numId w:val="8"/>
        </w:numPr>
      </w:pPr>
      <w:r>
        <w:t xml:space="preserve">управление зависит от </w:t>
      </w:r>
      <w:r>
        <w:rPr>
          <w:lang w:val="en-US"/>
        </w:rPr>
        <w:t>MBS</w:t>
      </w:r>
      <w:r w:rsidRPr="001F6AAD">
        <w:t>_</w:t>
      </w:r>
      <w:r>
        <w:rPr>
          <w:lang w:val="en-US"/>
        </w:rPr>
        <w:t>targetPurgingValves</w:t>
      </w:r>
      <w:r>
        <w:t>.</w:t>
      </w:r>
    </w:p>
    <w:p w14:paraId="1C470F4C" w14:textId="6FD99A04" w:rsidR="00A32C33" w:rsidRPr="00395826" w:rsidRDefault="00395826" w:rsidP="00BA49A2">
      <w:pPr>
        <w:pStyle w:val="af1"/>
      </w:pPr>
      <w:r>
        <w:t>Система выполняет управление на основе целевых значений, соблюдая условия включения</w:t>
      </w:r>
      <w:r w:rsidRPr="00395826">
        <w:t>/</w:t>
      </w:r>
      <w:r>
        <w:t>выключения, что делает её простой и эффективной.</w:t>
      </w:r>
    </w:p>
    <w:p w14:paraId="628F6836" w14:textId="77777777" w:rsidR="00A32C33" w:rsidRPr="00275A45" w:rsidRDefault="00A32C33" w:rsidP="00275A45">
      <w:pPr>
        <w:pStyle w:val="af1"/>
      </w:pPr>
    </w:p>
    <w:p w14:paraId="329DB9FC" w14:textId="1E135202" w:rsidR="00A32C33" w:rsidRPr="00275A45" w:rsidRDefault="00275A45" w:rsidP="00275A45">
      <w:pPr>
        <w:pStyle w:val="23"/>
      </w:pPr>
      <w:bookmarkStart w:id="9" w:name="_Toc183979104"/>
      <w:r>
        <w:t>2.2</w:t>
      </w:r>
      <w:r w:rsidR="00A32C33" w:rsidRPr="00275A45">
        <w:t xml:space="preserve"> Перечень взаимодействующих систем</w:t>
      </w:r>
      <w:bookmarkEnd w:id="9"/>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72C220B9" w:rsidR="00197CE6" w:rsidRDefault="00197CE6" w:rsidP="00197CE6">
      <w:pPr>
        <w:pStyle w:val="afd"/>
      </w:pPr>
      <w:r>
        <w:t>Таблица 2.1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381793E8" w:rsidR="00197CE6" w:rsidRPr="00197CE6" w:rsidRDefault="00582517" w:rsidP="00197CE6">
            <w:pPr>
              <w:pStyle w:val="afd"/>
              <w:rPr>
                <w:lang w:val="en-US"/>
              </w:rPr>
            </w:pPr>
            <w:r>
              <w:rPr>
                <w:lang w:val="en-US"/>
              </w:rPr>
              <w:t>A</w:t>
            </w:r>
          </w:p>
        </w:tc>
        <w:tc>
          <w:tcPr>
            <w:tcW w:w="2336" w:type="dxa"/>
          </w:tcPr>
          <w:p w14:paraId="42D864ED" w14:textId="0139C09B" w:rsidR="00197CE6" w:rsidRPr="00197CE6" w:rsidRDefault="00197CE6" w:rsidP="00197CE6">
            <w:pPr>
              <w:pStyle w:val="afd"/>
              <w:rPr>
                <w:lang w:val="en-US"/>
              </w:rPr>
            </w:pPr>
            <w:r>
              <w:rPr>
                <w:lang w:val="en-US"/>
              </w:rPr>
              <w:t>MBS</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0" w:name="_Toc183979105"/>
      <w:r w:rsidRPr="001C672E">
        <w:rPr>
          <w:rFonts w:eastAsia="Calibri"/>
        </w:rPr>
        <w:t>2.</w:t>
      </w:r>
      <w:r>
        <w:rPr>
          <w:rFonts w:eastAsia="Calibri"/>
          <w:lang w:val="en-US"/>
        </w:rPr>
        <w:t>3</w:t>
      </w:r>
      <w:r w:rsidR="00A32C33" w:rsidRPr="001C672E">
        <w:t xml:space="preserve"> Управление моделью</w:t>
      </w:r>
      <w:bookmarkEnd w:id="10"/>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Убедитесь, что у вас установлен MATLAB Simulink (R202</w:t>
      </w:r>
      <w:r w:rsidR="001C672E" w:rsidRPr="00782573">
        <w:t>4a</w:t>
      </w:r>
      <w:r w:rsidRPr="00782573">
        <w:t>) и запустите его.</w:t>
      </w:r>
    </w:p>
    <w:p w14:paraId="4C04E7A9" w14:textId="2A853753" w:rsidR="00A32C33" w:rsidRPr="00782573" w:rsidRDefault="00A32C33">
      <w:pPr>
        <w:pStyle w:val="af5"/>
        <w:numPr>
          <w:ilvl w:val="0"/>
          <w:numId w:val="9"/>
        </w:numPr>
      </w:pPr>
      <w:r w:rsidRPr="00782573">
        <w:t xml:space="preserve">Откройте модель </w:t>
      </w:r>
      <w:r w:rsidR="00582517">
        <w:t>A</w:t>
      </w:r>
      <w:r w:rsidRPr="00782573">
        <w:t xml:space="preserve"> MATLAB Simulink.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w:t>
      </w:r>
      <w:r w:rsidR="009D1130">
        <w:lastRenderedPageBreak/>
        <w:t>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Verification».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«Start» или используйте горячую клавишу «Ctrl+T» для начала выполнения модели. MATLAB Simulink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«Scope» или «Display»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781E24F2" w:rsidR="00A32C33" w:rsidRPr="001C672E" w:rsidRDefault="00A32C33" w:rsidP="001C672E">
      <w:pPr>
        <w:pStyle w:val="af1"/>
      </w:pPr>
      <w:r w:rsidRPr="001C672E">
        <w:t xml:space="preserve">Изменение состояний и режимов в модели </w:t>
      </w:r>
      <w:r w:rsidR="00582517">
        <w:rPr>
          <w:lang w:val="en-US"/>
        </w:rPr>
        <w:t>A</w:t>
      </w:r>
      <w:r w:rsidRPr="001C672E">
        <w:t xml:space="preserve"> происходят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811D257" w14:textId="77777777" w:rsidR="00A32C33" w:rsidRDefault="00A32C33" w:rsidP="001C672E">
      <w:pPr>
        <w:pStyle w:val="af1"/>
      </w:pPr>
    </w:p>
    <w:p w14:paraId="417847C0" w14:textId="77777777" w:rsidR="007841B4" w:rsidRDefault="007841B4" w:rsidP="001C672E">
      <w:pPr>
        <w:pStyle w:val="af1"/>
      </w:pPr>
    </w:p>
    <w:p w14:paraId="5294A197" w14:textId="77777777" w:rsidR="007841B4" w:rsidRDefault="007841B4" w:rsidP="001C672E">
      <w:pPr>
        <w:pStyle w:val="af1"/>
      </w:pPr>
    </w:p>
    <w:p w14:paraId="6AC7A411" w14:textId="77777777" w:rsidR="007841B4" w:rsidRPr="001C672E" w:rsidRDefault="007841B4" w:rsidP="001C672E">
      <w:pPr>
        <w:pStyle w:val="af1"/>
      </w:pPr>
    </w:p>
    <w:p w14:paraId="0EBF3F22" w14:textId="39A8AE24" w:rsidR="00A32C33" w:rsidRPr="00A32C33" w:rsidRDefault="001C672E" w:rsidP="001C672E">
      <w:pPr>
        <w:pStyle w:val="31"/>
        <w:rPr>
          <w:rFonts w:eastAsia="Calibri"/>
        </w:rPr>
      </w:pPr>
      <w:r w:rsidRPr="00072563">
        <w:rPr>
          <w:rFonts w:eastAsia="Calibri"/>
        </w:rPr>
        <w:lastRenderedPageBreak/>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В MATLAB Simulink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52BA1EAE" w14:textId="1DB484B1" w:rsidR="00A32C33" w:rsidRPr="001C672E" w:rsidRDefault="00E32CA1" w:rsidP="00E32CA1">
      <w:pPr>
        <w:pStyle w:val="af1"/>
      </w:pPr>
      <w:r>
        <w:t>В таблице 2.1 указан перечень используемых переменных.</w:t>
      </w:r>
    </w:p>
    <w:p w14:paraId="3C187FAF" w14:textId="77777777" w:rsidR="00A32C33" w:rsidRDefault="00A32C33" w:rsidP="001C672E">
      <w:pPr>
        <w:pStyle w:val="af1"/>
      </w:pPr>
    </w:p>
    <w:p w14:paraId="63AA87F0" w14:textId="0E89B8F3" w:rsidR="00E32CA1" w:rsidRDefault="00EE38F6" w:rsidP="00EE38F6">
      <w:pPr>
        <w:pStyle w:val="afd"/>
      </w:pPr>
      <w:r>
        <w:t xml:space="preserve">Таблица 2.1 </w:t>
      </w:r>
      <w:r w:rsidR="00F72BDB">
        <w:t>–</w:t>
      </w:r>
      <w:r>
        <w:t xml:space="preserve"> </w:t>
      </w:r>
      <w:r w:rsidR="00F72BDB">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765E0C2F" w:rsidR="006465D7" w:rsidRDefault="006465D7" w:rsidP="006465D7">
            <w:pPr>
              <w:pStyle w:val="afd"/>
            </w:pPr>
            <w:r w:rsidRPr="00F72BDB">
              <w:t>MBS_targetFillingValve1</w:t>
            </w:r>
          </w:p>
        </w:tc>
        <w:tc>
          <w:tcPr>
            <w:tcW w:w="4814" w:type="dxa"/>
          </w:tcPr>
          <w:p w14:paraId="41771E97" w14:textId="110658D2" w:rsidR="006465D7" w:rsidRDefault="006465D7" w:rsidP="006465D7">
            <w:pPr>
              <w:pStyle w:val="afd"/>
            </w:pPr>
            <w:r>
              <w:t>0.0</w:t>
            </w:r>
          </w:p>
        </w:tc>
      </w:tr>
      <w:tr w:rsidR="006465D7" w14:paraId="3CFE5046" w14:textId="77777777" w:rsidTr="006465D7">
        <w:tc>
          <w:tcPr>
            <w:tcW w:w="4814" w:type="dxa"/>
          </w:tcPr>
          <w:p w14:paraId="740187C6" w14:textId="3B8A1993" w:rsidR="006465D7" w:rsidRDefault="006465D7" w:rsidP="006465D7">
            <w:pPr>
              <w:pStyle w:val="afd"/>
            </w:pPr>
            <w:r w:rsidRPr="00F72BDB">
              <w:t>MBS_targetFillingValve</w:t>
            </w:r>
            <w:r>
              <w:t>2</w:t>
            </w:r>
          </w:p>
        </w:tc>
        <w:tc>
          <w:tcPr>
            <w:tcW w:w="4814" w:type="dxa"/>
          </w:tcPr>
          <w:p w14:paraId="79C2B09C" w14:textId="3C03F977" w:rsidR="006465D7" w:rsidRDefault="006465D7" w:rsidP="006465D7">
            <w:pPr>
              <w:pStyle w:val="afd"/>
            </w:pPr>
            <w:r>
              <w:t>0.0</w:t>
            </w:r>
          </w:p>
        </w:tc>
      </w:tr>
      <w:tr w:rsidR="006465D7" w14:paraId="32D7B83F" w14:textId="77777777" w:rsidTr="006465D7">
        <w:tc>
          <w:tcPr>
            <w:tcW w:w="4814" w:type="dxa"/>
          </w:tcPr>
          <w:p w14:paraId="035A7429" w14:textId="7F8614A1" w:rsidR="006465D7" w:rsidRDefault="006465D7" w:rsidP="006465D7">
            <w:pPr>
              <w:pStyle w:val="afd"/>
            </w:pPr>
            <w:r w:rsidRPr="00F72BDB">
              <w:t>MBS_targetFillingValve</w:t>
            </w:r>
            <w:r>
              <w:t>3</w:t>
            </w:r>
          </w:p>
        </w:tc>
        <w:tc>
          <w:tcPr>
            <w:tcW w:w="4814" w:type="dxa"/>
          </w:tcPr>
          <w:p w14:paraId="4026FD7F" w14:textId="55D272DA" w:rsidR="006465D7" w:rsidRDefault="006465D7" w:rsidP="006465D7">
            <w:pPr>
              <w:pStyle w:val="afd"/>
            </w:pPr>
            <w:r>
              <w:t>0.0</w:t>
            </w:r>
          </w:p>
        </w:tc>
      </w:tr>
      <w:tr w:rsidR="006465D7" w14:paraId="367F2FCB" w14:textId="77777777" w:rsidTr="006465D7">
        <w:tc>
          <w:tcPr>
            <w:tcW w:w="4814" w:type="dxa"/>
          </w:tcPr>
          <w:p w14:paraId="18C40AD4" w14:textId="058CF389" w:rsidR="006465D7" w:rsidRDefault="006465D7" w:rsidP="006465D7">
            <w:pPr>
              <w:pStyle w:val="afd"/>
            </w:pPr>
            <w:r w:rsidRPr="00F72BDB">
              <w:t>MBS_targetFillingValve</w:t>
            </w:r>
            <w:r>
              <w:t>4</w:t>
            </w:r>
          </w:p>
        </w:tc>
        <w:tc>
          <w:tcPr>
            <w:tcW w:w="4814" w:type="dxa"/>
          </w:tcPr>
          <w:p w14:paraId="33E01480" w14:textId="0B67762F" w:rsidR="006465D7" w:rsidRDefault="006465D7" w:rsidP="006465D7">
            <w:pPr>
              <w:pStyle w:val="afd"/>
            </w:pPr>
            <w:r>
              <w:t>0.0</w:t>
            </w:r>
          </w:p>
        </w:tc>
      </w:tr>
      <w:tr w:rsidR="006465D7" w14:paraId="716F540B" w14:textId="77777777" w:rsidTr="006465D7">
        <w:tc>
          <w:tcPr>
            <w:tcW w:w="4814" w:type="dxa"/>
          </w:tcPr>
          <w:p w14:paraId="4859488D" w14:textId="1B2DB162" w:rsidR="006465D7" w:rsidRDefault="006465D7" w:rsidP="006465D7">
            <w:pPr>
              <w:pStyle w:val="afd"/>
            </w:pPr>
            <w:r w:rsidRPr="00F72BDB">
              <w:t>MBS_targetFillingValve</w:t>
            </w:r>
            <w:r>
              <w:t>5</w:t>
            </w:r>
          </w:p>
        </w:tc>
        <w:tc>
          <w:tcPr>
            <w:tcW w:w="4814" w:type="dxa"/>
          </w:tcPr>
          <w:p w14:paraId="24411FD7" w14:textId="42FABAF1" w:rsidR="006465D7" w:rsidRDefault="006465D7" w:rsidP="006465D7">
            <w:pPr>
              <w:pStyle w:val="afd"/>
            </w:pPr>
            <w:r>
              <w:t>0.0</w:t>
            </w:r>
          </w:p>
        </w:tc>
      </w:tr>
      <w:tr w:rsidR="006465D7" w14:paraId="3B9EF1A3" w14:textId="77777777" w:rsidTr="006465D7">
        <w:tc>
          <w:tcPr>
            <w:tcW w:w="4814" w:type="dxa"/>
          </w:tcPr>
          <w:p w14:paraId="56F81B23" w14:textId="27E28E30" w:rsidR="006465D7" w:rsidRDefault="006465D7" w:rsidP="006465D7">
            <w:pPr>
              <w:pStyle w:val="afd"/>
            </w:pPr>
            <w:r w:rsidRPr="00F72BDB">
              <w:t>MBS_targetPurgingValves</w:t>
            </w:r>
          </w:p>
        </w:tc>
        <w:tc>
          <w:tcPr>
            <w:tcW w:w="4814" w:type="dxa"/>
          </w:tcPr>
          <w:p w14:paraId="0735F259" w14:textId="39758AB9" w:rsidR="006465D7" w:rsidRDefault="006465D7" w:rsidP="006465D7">
            <w:pPr>
              <w:pStyle w:val="afd"/>
            </w:pPr>
            <w:r>
              <w:t>0.0</w:t>
            </w:r>
          </w:p>
        </w:tc>
      </w:tr>
    </w:tbl>
    <w:p w14:paraId="1FCE0BA0" w14:textId="77777777" w:rsidR="00E32CA1" w:rsidRPr="000A35FB" w:rsidRDefault="00E32CA1" w:rsidP="000A35FB">
      <w:pPr>
        <w:pStyle w:val="af1"/>
      </w:pPr>
    </w:p>
    <w:p w14:paraId="0CE096FE" w14:textId="5E995AE6" w:rsidR="00A32C33" w:rsidRPr="00A32C33" w:rsidRDefault="000A35FB" w:rsidP="000A35FB">
      <w:pPr>
        <w:pStyle w:val="23"/>
        <w:rPr>
          <w:rFonts w:eastAsia="Calibri"/>
        </w:rPr>
      </w:pPr>
      <w:bookmarkStart w:id="11" w:name="_Toc183979106"/>
      <w:bookmarkStart w:id="12" w:name="_Hlk146661403"/>
      <w:r>
        <w:rPr>
          <w:rFonts w:eastAsia="Calibri"/>
        </w:rPr>
        <w:t>2.4</w:t>
      </w:r>
      <w:r w:rsidR="00A32C33" w:rsidRPr="00A32C33">
        <w:rPr>
          <w:rFonts w:eastAsia="Calibri"/>
        </w:rPr>
        <w:t xml:space="preserve"> Результаты тестирования</w:t>
      </w:r>
      <w:bookmarkEnd w:id="11"/>
    </w:p>
    <w:p w14:paraId="1F0D3696" w14:textId="77777777" w:rsidR="00A32C33" w:rsidRPr="00A32C33" w:rsidRDefault="00A32C33" w:rsidP="00F56DC2">
      <w:pPr>
        <w:pStyle w:val="af1"/>
        <w:rPr>
          <w:rFonts w:eastAsia="Calibri"/>
          <w:spacing w:val="-2"/>
          <w:sz w:val="24"/>
          <w:szCs w:val="24"/>
        </w:rPr>
      </w:pPr>
    </w:p>
    <w:p w14:paraId="58F3E7B1" w14:textId="4E1F507C" w:rsidR="00A32C33" w:rsidRPr="00E67B48" w:rsidRDefault="000A35FB" w:rsidP="000A35FB">
      <w:pPr>
        <w:pStyle w:val="31"/>
        <w:rPr>
          <w:lang w:val="en-US"/>
        </w:rPr>
      </w:pPr>
      <w:r>
        <w:t xml:space="preserve">2.4.1 </w:t>
      </w:r>
      <w:r w:rsidR="00E67B48">
        <w:rPr>
          <w:lang w:val="en-US"/>
        </w:rPr>
        <w:t>Model 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r w:rsidRPr="000A35FB">
        <w:t xml:space="preserve">Model Advisor </w:t>
      </w:r>
      <w:r w:rsidR="00105EEF">
        <w:t>–</w:t>
      </w:r>
      <w:r w:rsidRPr="000A35FB">
        <w:t xml:space="preserve"> это инструмент в MATLAB Simulink,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Simulink и автоматически предлагает рекомендации по их улучшению.</w:t>
      </w:r>
    </w:p>
    <w:p w14:paraId="0BFDE279" w14:textId="77777777" w:rsidR="00A32C33" w:rsidRDefault="00A32C33" w:rsidP="00105EEF">
      <w:pPr>
        <w:pStyle w:val="af1"/>
      </w:pPr>
    </w:p>
    <w:p w14:paraId="54D02165" w14:textId="77777777" w:rsidR="007841B4" w:rsidRDefault="007841B4" w:rsidP="00105EEF">
      <w:pPr>
        <w:pStyle w:val="af1"/>
      </w:pPr>
    </w:p>
    <w:p w14:paraId="7E041F56" w14:textId="77777777" w:rsidR="007841B4" w:rsidRDefault="007841B4" w:rsidP="00105EEF">
      <w:pPr>
        <w:pStyle w:val="af1"/>
      </w:pP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lastRenderedPageBreak/>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Model Advisor помогает выявлять потенциальные ошибки и проблемы в моделях Simulink.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Model Advisor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Model Advisor предлагает проверку моделей на соответствие различным стандартам и рекомендациям. Например, это может быть проверка соответствия стандартам SafetyISO 26262, MATLAB Style Guidelines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Advisor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42B78180" w:rsidR="00A32C33" w:rsidRPr="00B477F3" w:rsidRDefault="00D11DF3" w:rsidP="00B477F3">
      <w:pPr>
        <w:pStyle w:val="af3"/>
      </w:pPr>
      <w:r w:rsidRPr="00D11DF3">
        <w:rPr>
          <w:noProof/>
        </w:rPr>
        <w:drawing>
          <wp:inline distT="0" distB="0" distL="0" distR="0" wp14:anchorId="14EFD814" wp14:editId="269FA37D">
            <wp:extent cx="6120130" cy="32893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89300"/>
                    </a:xfrm>
                    <a:prstGeom prst="rect">
                      <a:avLst/>
                    </a:prstGeom>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3" w:name="_Toc183979107"/>
      <w:bookmarkEnd w:id="12"/>
      <w:r>
        <w:rPr>
          <w:rFonts w:eastAsia="Calibri"/>
        </w:rPr>
        <w:lastRenderedPageBreak/>
        <w:t xml:space="preserve">3 </w:t>
      </w:r>
      <w:r w:rsidR="00167208" w:rsidRPr="00A32C33">
        <w:rPr>
          <w:rFonts w:eastAsia="Calibri"/>
        </w:rPr>
        <w:t>ВЫВОДЫ</w:t>
      </w:r>
      <w:bookmarkEnd w:id="13"/>
    </w:p>
    <w:p w14:paraId="6421618F" w14:textId="77777777" w:rsidR="00A32C33" w:rsidRDefault="00A32C33" w:rsidP="00D11DF3">
      <w:pPr>
        <w:pStyle w:val="af1"/>
      </w:pPr>
    </w:p>
    <w:p w14:paraId="43207525" w14:textId="3522AD1E" w:rsidR="00167208" w:rsidRPr="00D11DF3" w:rsidRDefault="00167208" w:rsidP="00D11DF3">
      <w:pPr>
        <w:pStyle w:val="af1"/>
      </w:pPr>
      <w:r w:rsidRPr="007C7289">
        <w:t xml:space="preserve">В процессе выполнения работы была разработана </w:t>
      </w:r>
      <w:r>
        <w:t xml:space="preserve">ММ </w:t>
      </w:r>
      <w:r w:rsidR="00582517">
        <w:rPr>
          <w:lang w:val="en-US"/>
        </w:rPr>
        <w:t>A</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4" w:name="_Hlk147329030"/>
      <w:bookmarkStart w:id="15"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4"/>
      <w:r w:rsidRPr="00D11DF3">
        <w:t>.</w:t>
      </w:r>
      <w:bookmarkEnd w:id="15"/>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F1E39" w14:textId="77777777" w:rsidR="00CA7BB2" w:rsidRDefault="00CA7BB2">
      <w:pPr>
        <w:spacing w:line="240" w:lineRule="auto"/>
      </w:pPr>
      <w:r>
        <w:separator/>
      </w:r>
    </w:p>
  </w:endnote>
  <w:endnote w:type="continuationSeparator" w:id="0">
    <w:p w14:paraId="5A101637" w14:textId="77777777" w:rsidR="00CA7BB2" w:rsidRDefault="00CA7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094C" w14:textId="77777777" w:rsidR="00CA7BB2" w:rsidRDefault="00CA7BB2">
      <w:pPr>
        <w:spacing w:line="240" w:lineRule="auto"/>
      </w:pPr>
      <w:r>
        <w:separator/>
      </w:r>
    </w:p>
  </w:footnote>
  <w:footnote w:type="continuationSeparator" w:id="0">
    <w:p w14:paraId="4E49487C" w14:textId="77777777" w:rsidR="00CA7BB2" w:rsidRDefault="00CA7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698802"/>
      <w:docPartObj>
        <w:docPartGallery w:val="Page Numbers (Top of Page)"/>
        <w:docPartUnique/>
      </w:docPartObj>
    </w:sdtPr>
    <w:sdtEndPr>
      <w:rPr>
        <w:sz w:val="28"/>
        <w:szCs w:val="28"/>
      </w:rPr>
    </w:sdtEndPr>
    <w:sdtContent>
      <w:p w14:paraId="259C3580" w14:textId="77777777"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Pr="00072563">
          <w:rPr>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88276"/>
      <w:docPartObj>
        <w:docPartGallery w:val="Page Numbers (Top of Page)"/>
        <w:docPartUnique/>
      </w:docPartObj>
    </w:sdtPr>
    <w:sdtContent>
      <w:p w14:paraId="55CE7C25" w14:textId="77777777" w:rsidR="008644E9" w:rsidRDefault="00000000">
        <w:pPr>
          <w:pStyle w:val="ad"/>
          <w:jc w:val="center"/>
        </w:pPr>
        <w:r>
          <w:fldChar w:fldCharType="begin"/>
        </w:r>
        <w:r>
          <w:instrText>PAGE   \* MERGEFORMAT</w:instrText>
        </w:r>
        <w:r>
          <w:fldChar w:fldCharType="separate"/>
        </w:r>
        <w:r>
          <w:t>2</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732A65EA"/>
    <w:multiLevelType w:val="hybridMultilevel"/>
    <w:tmpl w:val="908E34C2"/>
    <w:lvl w:ilvl="0" w:tplc="85242D22">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015154706">
    <w:abstractNumId w:val="3"/>
  </w:num>
  <w:num w:numId="2" w16cid:durableId="1705251853">
    <w:abstractNumId w:val="4"/>
  </w:num>
  <w:num w:numId="3" w16cid:durableId="1697997139">
    <w:abstractNumId w:val="0"/>
  </w:num>
  <w:num w:numId="4" w16cid:durableId="499586814">
    <w:abstractNumId w:val="2"/>
  </w:num>
  <w:num w:numId="5" w16cid:durableId="232356016">
    <w:abstractNumId w:val="1"/>
  </w:num>
  <w:num w:numId="6" w16cid:durableId="1791435580">
    <w:abstractNumId w:val="5"/>
  </w:num>
  <w:num w:numId="7" w16cid:durableId="1124737058">
    <w:abstractNumId w:val="9"/>
  </w:num>
  <w:num w:numId="8" w16cid:durableId="459610019">
    <w:abstractNumId w:val="8"/>
  </w:num>
  <w:num w:numId="9" w16cid:durableId="1009260097">
    <w:abstractNumId w:val="6"/>
  </w:num>
  <w:num w:numId="10" w16cid:durableId="899680111">
    <w:abstractNumId w:val="7"/>
  </w:num>
  <w:num w:numId="11" w16cid:durableId="1912502859">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93"/>
    <w:rsid w:val="00036BBE"/>
    <w:rsid w:val="00056E2A"/>
    <w:rsid w:val="00072563"/>
    <w:rsid w:val="0008734A"/>
    <w:rsid w:val="000979E2"/>
    <w:rsid w:val="000A27B4"/>
    <w:rsid w:val="000A35FB"/>
    <w:rsid w:val="000A539A"/>
    <w:rsid w:val="000B7644"/>
    <w:rsid w:val="000D7876"/>
    <w:rsid w:val="000E4331"/>
    <w:rsid w:val="000E4A61"/>
    <w:rsid w:val="000F454E"/>
    <w:rsid w:val="00105EEF"/>
    <w:rsid w:val="001302FE"/>
    <w:rsid w:val="00167208"/>
    <w:rsid w:val="00197CE6"/>
    <w:rsid w:val="001C672E"/>
    <w:rsid w:val="001F6AAD"/>
    <w:rsid w:val="00200CBE"/>
    <w:rsid w:val="00240393"/>
    <w:rsid w:val="00265520"/>
    <w:rsid w:val="00275A45"/>
    <w:rsid w:val="00290435"/>
    <w:rsid w:val="00292EEB"/>
    <w:rsid w:val="0035058A"/>
    <w:rsid w:val="00391257"/>
    <w:rsid w:val="00395826"/>
    <w:rsid w:val="003D23B7"/>
    <w:rsid w:val="003D66D2"/>
    <w:rsid w:val="00446CFD"/>
    <w:rsid w:val="004674BE"/>
    <w:rsid w:val="00467B71"/>
    <w:rsid w:val="004F415F"/>
    <w:rsid w:val="00554C05"/>
    <w:rsid w:val="00582517"/>
    <w:rsid w:val="00584B92"/>
    <w:rsid w:val="00635AD5"/>
    <w:rsid w:val="00636294"/>
    <w:rsid w:val="006465D7"/>
    <w:rsid w:val="006634F2"/>
    <w:rsid w:val="00686E46"/>
    <w:rsid w:val="006972DB"/>
    <w:rsid w:val="006E1131"/>
    <w:rsid w:val="006E15D2"/>
    <w:rsid w:val="006F0991"/>
    <w:rsid w:val="006F36BD"/>
    <w:rsid w:val="00704259"/>
    <w:rsid w:val="00713932"/>
    <w:rsid w:val="0072226C"/>
    <w:rsid w:val="00744455"/>
    <w:rsid w:val="00762DF8"/>
    <w:rsid w:val="007637B1"/>
    <w:rsid w:val="00782573"/>
    <w:rsid w:val="007841B4"/>
    <w:rsid w:val="007B1F0C"/>
    <w:rsid w:val="00807A0D"/>
    <w:rsid w:val="00824817"/>
    <w:rsid w:val="00862800"/>
    <w:rsid w:val="008644E9"/>
    <w:rsid w:val="00866ED8"/>
    <w:rsid w:val="008A5502"/>
    <w:rsid w:val="008A60C2"/>
    <w:rsid w:val="008B6BC6"/>
    <w:rsid w:val="008E2092"/>
    <w:rsid w:val="008F39F8"/>
    <w:rsid w:val="00993B41"/>
    <w:rsid w:val="009A2103"/>
    <w:rsid w:val="009D1130"/>
    <w:rsid w:val="009D186F"/>
    <w:rsid w:val="009F412A"/>
    <w:rsid w:val="00A32C33"/>
    <w:rsid w:val="00A8652B"/>
    <w:rsid w:val="00AB21F9"/>
    <w:rsid w:val="00AB7722"/>
    <w:rsid w:val="00B34FBA"/>
    <w:rsid w:val="00B441D9"/>
    <w:rsid w:val="00B477F3"/>
    <w:rsid w:val="00BA49A2"/>
    <w:rsid w:val="00BE15ED"/>
    <w:rsid w:val="00C46704"/>
    <w:rsid w:val="00C7440A"/>
    <w:rsid w:val="00CA18F1"/>
    <w:rsid w:val="00CA7BB2"/>
    <w:rsid w:val="00CC5247"/>
    <w:rsid w:val="00CF5D8A"/>
    <w:rsid w:val="00CF601F"/>
    <w:rsid w:val="00CF6283"/>
    <w:rsid w:val="00D11DF3"/>
    <w:rsid w:val="00D21791"/>
    <w:rsid w:val="00D7537C"/>
    <w:rsid w:val="00DE3113"/>
    <w:rsid w:val="00DF50F0"/>
    <w:rsid w:val="00E32CA1"/>
    <w:rsid w:val="00E41783"/>
    <w:rsid w:val="00E67B48"/>
    <w:rsid w:val="00E743B7"/>
    <w:rsid w:val="00E82A06"/>
    <w:rsid w:val="00E83EDC"/>
    <w:rsid w:val="00EA3BA2"/>
    <w:rsid w:val="00EE38F6"/>
    <w:rsid w:val="00EF76E7"/>
    <w:rsid w:val="00F56DC2"/>
    <w:rsid w:val="00F72BDB"/>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styleId="aff">
    <w:name w:val="Unresolved Mention"/>
    <w:basedOn w:val="a0"/>
    <w:uiPriority w:val="99"/>
    <w:semiHidden/>
    <w:unhideWhenUsed/>
    <w:rsid w:val="00467B71"/>
    <w:rPr>
      <w:color w:val="605E5C"/>
      <w:shd w:val="clear" w:color="auto" w:fill="E1DFDD"/>
    </w:rPr>
  </w:style>
  <w:style w:type="character" w:styleId="aff0">
    <w:name w:val="FollowedHyperlink"/>
    <w:basedOn w:val="a0"/>
    <w:uiPriority w:val="99"/>
    <w:semiHidden/>
    <w:unhideWhenUsed/>
    <w:rsid w:val="00467B71"/>
    <w:rPr>
      <w:color w:val="96607D" w:themeColor="followedHyperlink"/>
      <w:u w:val="single"/>
    </w:rPr>
  </w:style>
  <w:style w:type="character" w:styleId="aff1">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779105987">
      <w:bodyDiv w:val="1"/>
      <w:marLeft w:val="0"/>
      <w:marRight w:val="0"/>
      <w:marTop w:val="0"/>
      <w:marBottom w:val="0"/>
      <w:divBdr>
        <w:top w:val="none" w:sz="0" w:space="0" w:color="auto"/>
        <w:left w:val="none" w:sz="0" w:space="0" w:color="auto"/>
        <w:bottom w:val="none" w:sz="0" w:space="0" w:color="auto"/>
        <w:right w:val="none" w:sz="0" w:space="0" w:color="auto"/>
      </w:divBdr>
    </w:div>
    <w:div w:id="1699626080">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A"/>
    <w:rsid w:val="00196B2A"/>
    <w:rsid w:val="00614130"/>
    <w:rsid w:val="006E15D2"/>
    <w:rsid w:val="00866ED8"/>
    <w:rsid w:val="00A04154"/>
    <w:rsid w:val="00AC1762"/>
    <w:rsid w:val="00AD64D3"/>
    <w:rsid w:val="00BF4931"/>
    <w:rsid w:val="00D21791"/>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9B61-FFFE-4378-8FBB-A41413B9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122</TotalTime>
  <Pages>12</Pages>
  <Words>1438</Words>
  <Characters>8200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Nicolaus Sukharev</cp:lastModifiedBy>
  <cp:revision>95</cp:revision>
  <cp:lastPrinted>2024-12-01T17:58:00Z</cp:lastPrinted>
  <dcterms:created xsi:type="dcterms:W3CDTF">2024-12-01T10:00:00Z</dcterms:created>
  <dcterms:modified xsi:type="dcterms:W3CDTF">2024-12-05T13:36:00Z</dcterms:modified>
</cp:coreProperties>
</file>