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00"/>
        </w:rPr>
        <w:t>ZDEM盐体运动学分析系统操作手册</w:t>
      </w:r>
    </w:p>
    <w:p>
      <w:pPr>
        <w:pStyle w:val="Heading2"/>
      </w:pPr>
      <w:r>
        <w:rPr>
          <w:color w:val="000000"/>
        </w:rPr>
        <w:t>软件概述</w:t>
      </w:r>
    </w:p>
    <w:p>
      <w:r>
        <w:rPr>
          <w:rFonts w:ascii="SimSun" w:hAnsi="SimSun" w:eastAsia="SimSun"/>
          <w:color w:val="000000"/>
          <w:sz w:val="21"/>
        </w:rPr>
        <w:t>本软件用于对ZDEM离散元模拟输出数据进行盐体运动学自动化分析，从原始粒子数据中提取盐丘几何形态演化指标并生成学术级诊断图表。</w:t>
      </w:r>
    </w:p>
    <w:p>
      <w:r>
        <w:rPr>
          <w:rFonts w:ascii="SimSun" w:hAnsi="SimSun" w:eastAsia="SimSun"/>
          <w:color w:val="000000"/>
          <w:sz w:val="21"/>
        </w:rPr>
        <w:t>1）批量数据提取：用于读取用户整理的ZDEM实验组数据目录，自动扫描各实验组data子目录中的.dat原始粒子文件，解析颗粒坐标与组别信息，通过水平分箱统计提取盐体表面包络线，识别盐丘主峰顶点与边缘向斜基点，计算宽度、起伏和高宽比三项运动学指标，结果保存为CSV表格和PKL缓存文件。</w:t>
      </w:r>
    </w:p>
    <w:p>
      <w:r>
        <w:rPr>
          <w:rFonts w:ascii="SimSun" w:hAnsi="SimSun" w:eastAsia="SimSun"/>
          <w:color w:val="000000"/>
          <w:sz w:val="21"/>
        </w:rPr>
        <w:t>2）智能特征点定位：用于从平滑后的包络线中自动定位盐丘主峰与边缘基点。主峰识别采用SciPy峰值检测算法结合Prominence阈值筛选最显著峰值；基点识别采用坑底探测与反弹判定算法，从峰顶向推板反方向扫描追踪局部极小值，当连续反弹超过设定阈值时锁定基点位置。该功能可自动处理数万颗粒的剖面数据，无需人工逐帧测量。</w:t>
      </w:r>
    </w:p>
    <w:p>
      <w:r>
        <w:rPr>
          <w:rFonts w:ascii="SimSun" w:hAnsi="SimSun" w:eastAsia="SimSun"/>
          <w:color w:val="000000"/>
          <w:sz w:val="21"/>
        </w:rPr>
        <w:t>3）交互式质控修正：用于对自动识别结果进行人工检查和校准。软件以Matplotlib图形窗口逐帧展示盐体粒子分布和算法识别的主峰、基点标记，用户可通过鼠标左键点击盐体表面重新设定基点坐标，右键撤销上一步操作，按S键或Enter键保存修正并自动切换下一帧。该功能用于修正算法在复杂边界条件下可能出现的误判。</w:t>
      </w:r>
    </w:p>
    <w:p>
      <w:r>
        <w:rPr>
          <w:rFonts w:ascii="SimSun" w:hAnsi="SimSun" w:eastAsia="SimSun"/>
          <w:color w:val="000000"/>
          <w:sz w:val="21"/>
        </w:rPr>
        <w:t>4）单组诊断绘图：用于为单个实验组生成运动学演化轨迹图和盐体剖面多宫格诊断图。演化轨迹图展示高宽比随缩短量变化的曲线，剖面诊断图以多宫格形式展示不同时刻步的盐体轮廓与特征点叠加效果，输出为600 DPI高分辨率PNG文件。</w:t>
      </w:r>
    </w:p>
    <w:p>
      <w:r>
        <w:rPr>
          <w:rFonts w:ascii="SimSun" w:hAnsi="SimSun" w:eastAsia="SimSun"/>
          <w:color w:val="000000"/>
          <w:sz w:val="21"/>
        </w:rPr>
        <w:t>5）多组联合比对：用于将所有实验组的运动学指标绘制到同一坐标系中进行跨组对比。软件自动加载各组的CSV数据，按不同颜色和标记绘制宽度、起伏和高宽比的演化曲线，同时输出PNG位图和PDF矢量图两种格式，便于论文学术发表。</w:t>
      </w:r>
    </w:p>
    <w:p>
      <w:pPr>
        <w:pStyle w:val="Heading2"/>
      </w:pPr>
      <w:r>
        <w:rPr>
          <w:color w:val="000000"/>
        </w:rPr>
        <w:t>运行环境</w:t>
      </w:r>
    </w:p>
    <w:p>
      <w:r>
        <w:rPr>
          <w:rFonts w:ascii="SimSun" w:hAnsi="SimSun" w:eastAsia="SimSun"/>
          <w:color w:val="000000"/>
          <w:sz w:val="21"/>
        </w:rPr>
        <w:t>软件可在安装Python 3.9及以上版本的科学计算环境中运行，依赖NumPy、SciPy、Pandas、Matplotlib、tqdm和python-dotenv。也可通过Docker容器运行。</w:t>
      </w:r>
    </w:p>
    <w:p>
      <w:pPr>
        <w:pStyle w:val="Heading2"/>
      </w:pPr>
      <w:r>
        <w:rPr>
          <w:color w:val="000000"/>
        </w:rPr>
        <w:t>典型使用流程</w:t>
      </w:r>
    </w:p>
    <w:p>
      <w:r>
        <w:rPr>
          <w:rFonts w:ascii="SimSun" w:hAnsi="SimSun" w:eastAsia="SimSun"/>
          <w:color w:val="000000"/>
          <w:sz w:val="21"/>
        </w:rPr>
        <w:t>ZDEM盐体运动学分析系统的典型使用流程按照标准数据流水线组织，审核人员可通过该流程理解各功能之间的衔接关系。</w:t>
      </w:r>
    </w:p>
    <w:p>
      <w:r>
        <w:rPr>
          <w:rFonts w:ascii="SimSun" w:hAnsi="SimSun" w:eastAsia="SimSun"/>
          <w:color w:val="000000"/>
          <w:sz w:val="21"/>
        </w:rPr>
        <w:t>1）将ZDEM模拟数据按实验组整理到数据目录中，每个实验组子目录下包含data子文件夹，存放按时间步编号的.dat文件。</w:t>
      </w:r>
    </w:p>
    <w:p>
      <w:r>
        <w:rPr>
          <w:rFonts w:ascii="SimSun" w:hAnsi="SimSun" w:eastAsia="SimSun"/>
          <w:color w:val="000000"/>
          <w:sz w:val="21"/>
        </w:rPr>
        <w:t>2）复制.env.example为.env，修改FINAL_OUTPUT_DIR指向实际数据目录，配置EXPERIMENT_GROUPS实验组参数。</w:t>
      </w:r>
    </w:p>
    <w:p>
      <w:r>
        <w:rPr>
          <w:rFonts w:ascii="SimSun" w:hAnsi="SimSun" w:eastAsia="SimSun"/>
          <w:color w:val="000000"/>
          <w:sz w:val="21"/>
        </w:rPr>
        <w:t>3）执行python 01_data_extractor.py，批量解析.dat文件并提取运动学指标，生成CSV和PKL缓存。</w:t>
      </w:r>
    </w:p>
    <w:p>
      <w:r>
        <w:rPr>
          <w:rFonts w:ascii="SimSun" w:hAnsi="SimSun" w:eastAsia="SimSun"/>
          <w:color w:val="000000"/>
          <w:sz w:val="21"/>
        </w:rPr>
        <w:t>4）执行python 01b_manual_corrector.py，在交互式图形界面中逐帧检查并修正基点定位。</w:t>
      </w:r>
    </w:p>
    <w:p>
      <w:r>
        <w:rPr>
          <w:rFonts w:ascii="SimSun" w:hAnsi="SimSun" w:eastAsia="SimSun"/>
          <w:color w:val="000000"/>
          <w:sz w:val="21"/>
        </w:rPr>
        <w:t>5）执行python 02_plot_single_diagnostic.py，为每个实验组生成演化轨迹图和剖面诊断图。</w:t>
      </w:r>
    </w:p>
    <w:p>
      <w:r>
        <w:rPr>
          <w:rFonts w:ascii="SimSun" w:hAnsi="SimSun" w:eastAsia="SimSun"/>
          <w:color w:val="000000"/>
          <w:sz w:val="21"/>
        </w:rPr>
        <w:t>6）执行python 03_plot_multi_comparison.py，生成所有实验组的宽度、起伏、高宽比联合对比图。</w:t>
      </w:r>
    </w:p>
    <w:p>
      <w:pPr>
        <w:pStyle w:val="Heading2"/>
      </w:pPr>
      <w:r>
        <w:rPr>
          <w:color w:val="000000"/>
        </w:rPr>
        <w:t>主要功能说明</w:t>
      </w:r>
    </w:p>
    <w:p>
      <w:r>
        <w:rPr>
          <w:rFonts w:ascii="SimSun" w:hAnsi="SimSun" w:eastAsia="SimSun"/>
          <w:color w:val="000000"/>
          <w:sz w:val="21"/>
        </w:rPr>
        <w:t>软件围绕数据提取、特征点定位、交互质控、单组诊断绘图和多组联合比对组织功能。</w:t>
      </w:r>
    </w:p>
    <w:p>
      <w:pPr>
        <w:pStyle w:val="Heading3"/>
      </w:pPr>
      <w:r>
        <w:rPr>
          <w:color w:val="000000"/>
        </w:rPr>
        <w:t>1. 环境配置</w:t>
      </w:r>
    </w:p>
    <w:p>
      <w:r>
        <w:rPr>
          <w:rFonts w:ascii="SimSun" w:hAnsi="SimSun" w:eastAsia="SimSun"/>
          <w:color w:val="000000"/>
          <w:sz w:val="21"/>
        </w:rPr>
        <w:t>用户首次使用前需要安装依赖包并配置运行参数。软件通过.env配置文件管理数据目录路径、实验组定义、算法参数和视觉样式等所有运行参数，用户将模板文件.env.example复制为.env后编辑相应字段即可。</w:t>
      </w:r>
    </w:p>
    <w:p>
      <w:r>
        <w:rPr>
          <w:rFonts w:ascii="SimSun" w:hAnsi="SimSun" w:eastAsia="SimSun"/>
          <w:color w:val="000000"/>
          <w:sz w:val="21"/>
        </w:rPr>
        <w:t>该功能是后续所有数据分析和图形输出的入口。若配置文件缺失或路径无效，软件会在启动时给出报错提示，用户可根据提示检查并修改.env文件。</w:t>
      </w:r>
    </w:p>
    <w:p>
      <w:r>
        <w:rPr>
          <w:rFonts w:ascii="SimSun" w:hAnsi="SimSun" w:eastAsia="SimSun"/>
          <w:color w:val="000000"/>
          <w:sz w:val="21"/>
        </w:rPr>
        <w:t>操作步骤：</w:t>
      </w:r>
    </w:p>
    <w:p>
      <w:r>
        <w:rPr>
          <w:rFonts w:ascii="SimSun" w:hAnsi="SimSun" w:eastAsia="SimSun"/>
          <w:color w:val="000000"/>
          <w:sz w:val="21"/>
        </w:rPr>
        <w:t>1）在终端中进入软件根目录。</w:t>
      </w:r>
    </w:p>
    <w:p>
      <w:r>
        <w:rPr>
          <w:rFonts w:ascii="SimSun" w:hAnsi="SimSun" w:eastAsia="SimSun"/>
          <w:color w:val="000000"/>
          <w:sz w:val="21"/>
        </w:rPr>
        <w:t>2）执行pip install -r requirements.txt安装NumPy、SciPy、Pandas、Matplotlib等依赖。</w:t>
      </w:r>
    </w:p>
    <w:p>
      <w:r>
        <w:rPr>
          <w:rFonts w:ascii="SimSun" w:hAnsi="SimSun" w:eastAsia="SimSun"/>
          <w:color w:val="000000"/>
          <w:sz w:val="21"/>
        </w:rPr>
        <w:t>3）将.env.example复制为.env。</w:t>
      </w:r>
    </w:p>
    <w:p>
      <w:r>
        <w:rPr>
          <w:rFonts w:ascii="SimSun" w:hAnsi="SimSun" w:eastAsia="SimSun"/>
          <w:color w:val="000000"/>
          <w:sz w:val="21"/>
        </w:rPr>
        <w:t>4）用文本编辑器打开.env，修改FINAL_OUTPUT_DIR为实际数据目录路径。</w:t>
      </w:r>
    </w:p>
    <w:p>
      <w:r>
        <w:rPr>
          <w:rFonts w:ascii="SimSun" w:hAnsi="SimSun" w:eastAsia="SimSun"/>
          <w:color w:val="000000"/>
          <w:sz w:val="21"/>
        </w:rPr>
        <w:t>5）在EXPERIMENT_GROUPS字段中按JSON格式填写实验组的子目录路径、标签名称、颜色和标记符号。</w:t>
      </w:r>
    </w:p>
    <w:p>
      <w:r>
        <w:rPr>
          <w:rFonts w:ascii="SimSun" w:hAnsi="SimSun" w:eastAsia="SimSun"/>
          <w:color w:val="000000"/>
          <w:sz w:val="21"/>
        </w:rPr>
        <w:t>6）保存.env文件。</w:t>
      </w:r>
    </w:p>
    <w:p>
      <w:r>
        <w:rPr>
          <w:rFonts w:ascii="SimSun" w:hAnsi="SimSun" w:eastAsia="SimSun"/>
          <w:color w:val="000000"/>
          <w:sz w:val="21"/>
        </w:rPr>
        <w:t>完成配置后，运行数据提取脚本时会自动读取.env中的参数。</w:t>
      </w:r>
    </w:p>
    <w:p>
      <w:r>
        <w:rPr>
          <w:rFonts w:ascii="SimSun" w:hAnsi="SimSun" w:eastAsia="SimSun"/>
          <w:color w:val="000000"/>
          <w:sz w:val="21"/>
        </w:rPr>
        <w:t>【截图预留：终端中pip install执行完成的输出截图，以及.env配置文件内容截图。】</w:t>
      </w:r>
    </w:p>
    <w:p>
      <w:pPr>
        <w:pStyle w:val="Heading3"/>
      </w:pPr>
      <w:r>
        <w:rPr>
          <w:color w:val="000000"/>
        </w:rPr>
        <w:t>2. 数据提取</w:t>
      </w:r>
    </w:p>
    <w:p>
      <w:r>
        <w:rPr>
          <w:rFonts w:ascii="SimSun" w:hAnsi="SimSun" w:eastAsia="SimSun"/>
          <w:color w:val="000000"/>
          <w:sz w:val="21"/>
        </w:rPr>
        <w:t>数据提取功能用于批量解析ZDEM原始.dat文件，自动计算每帧的盐体运动学指标。软件按实验组遍历data子目录中的所有.dat文件，通过scipy.stats.binned_statistic对粒子云进行水平向分箱取最大高程值得到表面包络线，应用自适应窗口Savitzky-Golay滤波器平滑包络线，使用scipy.signal.find_peaks检测主峰顶点，运行坑底探测与反弹判定算法定位边缘基点，计算宽度、起伏和高宽比，对时间序列进行中心化滚动平均平滑。</w:t>
      </w:r>
    </w:p>
    <w:p>
      <w:r>
        <w:rPr>
          <w:rFonts w:ascii="SimSun" w:hAnsi="SimSun" w:eastAsia="SimSun"/>
          <w:color w:val="000000"/>
          <w:sz w:val="21"/>
        </w:rPr>
        <w:t>提取结果以CSV格式保存运动学指标数据，以PKL格式缓存每帧的剖面数据和特征点坐标，用于后续质控和绘图步骤。</w:t>
      </w:r>
    </w:p>
    <w:p>
      <w:r>
        <w:rPr>
          <w:rFonts w:ascii="SimSun" w:hAnsi="SimSun" w:eastAsia="SimSun"/>
          <w:color w:val="000000"/>
          <w:sz w:val="21"/>
        </w:rPr>
        <w:t>操作步骤：</w:t>
      </w:r>
    </w:p>
    <w:p>
      <w:r>
        <w:rPr>
          <w:rFonts w:ascii="SimSun" w:hAnsi="SimSun" w:eastAsia="SimSun"/>
          <w:color w:val="000000"/>
          <w:sz w:val="21"/>
        </w:rPr>
        <w:t>1）确保.env已正确配置且数据目录已按实验组组织好。</w:t>
      </w:r>
    </w:p>
    <w:p>
      <w:r>
        <w:rPr>
          <w:rFonts w:ascii="SimSun" w:hAnsi="SimSun" w:eastAsia="SimSun"/>
          <w:color w:val="000000"/>
          <w:sz w:val="21"/>
        </w:rPr>
        <w:t>2）在终端中执行python 01_data_extractor.py。</w:t>
      </w:r>
    </w:p>
    <w:p>
      <w:r>
        <w:rPr>
          <w:rFonts w:ascii="SimSun" w:hAnsi="SimSun" w:eastAsia="SimSun"/>
          <w:color w:val="000000"/>
          <w:sz w:val="21"/>
        </w:rPr>
        <w:t>3）查看终端显示的tqdm进度条和日志，日志格式为HH:MM:SS [INFO] 描述信息。</w:t>
      </w:r>
    </w:p>
    <w:p>
      <w:r>
        <w:rPr>
          <w:rFonts w:ascii="SimSun" w:hAnsi="SimSun" w:eastAsia="SimSun"/>
          <w:color w:val="000000"/>
          <w:sz w:val="21"/>
        </w:rPr>
        <w:t>4）等待处理完成，日志会显示每个实验组的原始帧数、采样帧数和数据存储路径。</w:t>
      </w:r>
    </w:p>
    <w:p>
      <w:r>
        <w:rPr>
          <w:rFonts w:ascii="SimSun" w:hAnsi="SimSun" w:eastAsia="SimSun"/>
          <w:color w:val="000000"/>
          <w:sz w:val="21"/>
        </w:rPr>
        <w:t>5）在实验组目录下检查生成的kinematics_data.csv和profiles_cache.pkl文件。</w:t>
      </w:r>
    </w:p>
    <w:p>
      <w:r>
        <w:rPr>
          <w:rFonts w:ascii="SimSun" w:hAnsi="SimSun" w:eastAsia="SimSun"/>
          <w:color w:val="000000"/>
          <w:sz w:val="21"/>
        </w:rPr>
        <w:t>完成数据提取后，用户可继续进入交互式质控修正或直接生成诊断图表。</w:t>
      </w:r>
    </w:p>
    <w:p>
      <w:r>
        <w:rPr>
          <w:rFonts w:ascii="SimSun" w:hAnsi="SimSun" w:eastAsia="SimSun"/>
          <w:color w:val="000000"/>
          <w:sz w:val="21"/>
        </w:rPr>
        <w:t>【截图预留：终端中执行数据提取时的日志和进度条输出截图。】</w:t>
      </w:r>
    </w:p>
    <w:p>
      <w:pPr>
        <w:pStyle w:val="Heading3"/>
      </w:pPr>
      <w:r>
        <w:rPr>
          <w:color w:val="000000"/>
        </w:rPr>
        <w:t>3. 交互式质控修正</w:t>
      </w:r>
    </w:p>
    <w:p>
      <w:r>
        <w:rPr>
          <w:rFonts w:ascii="SimSun" w:hAnsi="SimSun" w:eastAsia="SimSun"/>
          <w:color w:val="000000"/>
          <w:sz w:val="21"/>
        </w:rPr>
        <w:t>交互式质控功能用于对算法自动识别的基点位置进行人工检查和微调。软件以Matplotlib图形窗口逐帧展示当前时间步的盐体粒子分布散点图，叠加显示算法识别的峰顶标记和基点标记，底部状态栏显示当前帧编号、鼠标操作提示和快捷键说明。</w:t>
      </w:r>
    </w:p>
    <w:p>
      <w:r>
        <w:rPr>
          <w:rFonts w:ascii="SimSun" w:hAnsi="SimSun" w:eastAsia="SimSun"/>
          <w:color w:val="000000"/>
          <w:sz w:val="21"/>
        </w:rPr>
        <w:t>用户通过鼠标左键点击盐体表面任意位置可重新设定基点坐标，右键点击可撤销上一步修正。按S键或Enter键保存当前帧结果并自动加载下一帧，按A键返回上一帧。</w:t>
      </w:r>
    </w:p>
    <w:p>
      <w:r>
        <w:rPr>
          <w:rFonts w:ascii="SimSun" w:hAnsi="SimSun" w:eastAsia="SimSun"/>
          <w:color w:val="000000"/>
          <w:sz w:val="21"/>
        </w:rPr>
        <w:t>操作步骤：</w:t>
      </w:r>
    </w:p>
    <w:p>
      <w:r>
        <w:rPr>
          <w:rFonts w:ascii="SimSun" w:hAnsi="SimSun" w:eastAsia="SimSun"/>
          <w:color w:val="000000"/>
          <w:sz w:val="21"/>
        </w:rPr>
        <w:t>1）确保数据提取步骤已完成，实验组目录下存在profiles_cache.pkl文件。</w:t>
      </w:r>
    </w:p>
    <w:p>
      <w:r>
        <w:rPr>
          <w:rFonts w:ascii="SimSun" w:hAnsi="SimSun" w:eastAsia="SimSun"/>
          <w:color w:val="000000"/>
          <w:sz w:val="21"/>
        </w:rPr>
        <w:t>2）在终端中执行python 01b_manual_corrector.py。</w:t>
      </w:r>
    </w:p>
    <w:p>
      <w:r>
        <w:rPr>
          <w:rFonts w:ascii="SimSun" w:hAnsi="SimSun" w:eastAsia="SimSun"/>
          <w:color w:val="000000"/>
          <w:sz w:val="21"/>
        </w:rPr>
        <w:t>3）在图形窗口中查看当前帧的盐体粒子分布和特征点标记。</w:t>
      </w:r>
    </w:p>
    <w:p>
      <w:r>
        <w:rPr>
          <w:rFonts w:ascii="SimSun" w:hAnsi="SimSun" w:eastAsia="SimSun"/>
          <w:color w:val="000000"/>
          <w:sz w:val="21"/>
        </w:rPr>
        <w:t>4）如基点位置有偏差，鼠标左键点击盐体表面正确位置。</w:t>
      </w:r>
    </w:p>
    <w:p>
      <w:r>
        <w:rPr>
          <w:rFonts w:ascii="SimSun" w:hAnsi="SimSun" w:eastAsia="SimSun"/>
          <w:color w:val="000000"/>
          <w:sz w:val="21"/>
        </w:rPr>
        <w:t>5）如误操作，鼠标右键点击撤销。</w:t>
      </w:r>
    </w:p>
    <w:p>
      <w:r>
        <w:rPr>
          <w:rFonts w:ascii="SimSun" w:hAnsi="SimSun" w:eastAsia="SimSun"/>
          <w:color w:val="000000"/>
          <w:sz w:val="21"/>
        </w:rPr>
        <w:t>6）检查无误后按S键或Enter键保存，软件自动加载下一帧。</w:t>
      </w:r>
    </w:p>
    <w:p>
      <w:r>
        <w:rPr>
          <w:rFonts w:ascii="SimSun" w:hAnsi="SimSun" w:eastAsia="SimSun"/>
          <w:color w:val="000000"/>
          <w:sz w:val="21"/>
        </w:rPr>
        <w:t>7）重复步骤3至6，直至所有帧检查完毕。</w:t>
      </w:r>
    </w:p>
    <w:p>
      <w:r>
        <w:rPr>
          <w:rFonts w:ascii="SimSun" w:hAnsi="SimSun" w:eastAsia="SimSun"/>
          <w:color w:val="000000"/>
          <w:sz w:val="21"/>
        </w:rPr>
        <w:t>8）关闭图形窗口，修正后的数据自动保存到缓存文件。</w:t>
      </w:r>
    </w:p>
    <w:p>
      <w:r>
        <w:rPr>
          <w:rFonts w:ascii="SimSun" w:hAnsi="SimSun" w:eastAsia="SimSun"/>
          <w:color w:val="000000"/>
          <w:sz w:val="21"/>
        </w:rPr>
        <w:t>质控修正完成后，修正后的基点坐标将用于后续诊断图表的生成。</w:t>
      </w:r>
    </w:p>
    <w:p>
      <w:r>
        <w:rPr>
          <w:rFonts w:ascii="SimSun" w:hAnsi="SimSun" w:eastAsia="SimSun"/>
          <w:color w:val="000000"/>
          <w:sz w:val="21"/>
        </w:rPr>
        <w:t>【截图预留：质控界面中一帧的截图，展示盐体粒子散点图、峰顶和基点标记、操作提示区域。】</w:t>
      </w:r>
    </w:p>
    <w:p>
      <w:pPr>
        <w:pStyle w:val="Heading3"/>
      </w:pPr>
      <w:r>
        <w:rPr>
          <w:color w:val="000000"/>
        </w:rPr>
        <w:t>4. 单组诊断绘图</w:t>
      </w:r>
    </w:p>
    <w:p>
      <w:r>
        <w:rPr>
          <w:rFonts w:ascii="SimSun" w:hAnsi="SimSun" w:eastAsia="SimSun"/>
          <w:color w:val="000000"/>
          <w:sz w:val="21"/>
        </w:rPr>
        <w:t>单组诊断绘图功能用于为每个实验组生成运动学演化轨迹图和盐体剖面多宫格诊断图。软件读取kinematics_data.csv和profiles_cache.pkl中的数据，绘制高宽比随缩短量变化的演化曲线（采用Y轴右置学术风格，出露前实线、出露后虚线标识），以及按时间步排列的剖面形态多宫格对比图。</w:t>
      </w:r>
    </w:p>
    <w:p>
      <w:r>
        <w:rPr>
          <w:rFonts w:ascii="SimSun" w:hAnsi="SimSun" w:eastAsia="SimSun"/>
          <w:color w:val="000000"/>
          <w:sz w:val="21"/>
        </w:rPr>
        <w:t>演化轨迹图以600 DPI输出，剖面诊断图以300 DPI输出，均保存为PNG格式。</w:t>
      </w:r>
    </w:p>
    <w:p>
      <w:r>
        <w:rPr>
          <w:rFonts w:ascii="SimSun" w:hAnsi="SimSun" w:eastAsia="SimSun"/>
          <w:color w:val="000000"/>
          <w:sz w:val="21"/>
        </w:rPr>
        <w:t>操作步骤：</w:t>
      </w:r>
    </w:p>
    <w:p>
      <w:r>
        <w:rPr>
          <w:rFonts w:ascii="SimSun" w:hAnsi="SimSun" w:eastAsia="SimSun"/>
          <w:color w:val="000000"/>
          <w:sz w:val="21"/>
        </w:rPr>
        <w:t>1）确保实验组目录下存在kinematics_data.csv数据文件。</w:t>
      </w:r>
    </w:p>
    <w:p>
      <w:r>
        <w:rPr>
          <w:rFonts w:ascii="SimSun" w:hAnsi="SimSun" w:eastAsia="SimSun"/>
          <w:color w:val="000000"/>
          <w:sz w:val="21"/>
        </w:rPr>
        <w:t>2）在终端中执行python 02_plot_single_diagnostic.py。</w:t>
      </w:r>
    </w:p>
    <w:p>
      <w:r>
        <w:rPr>
          <w:rFonts w:ascii="SimSun" w:hAnsi="SimSun" w:eastAsia="SimSun"/>
          <w:color w:val="000000"/>
          <w:sz w:val="21"/>
        </w:rPr>
        <w:t>3）查看终端日志显示的绘图进度。</w:t>
      </w:r>
    </w:p>
    <w:p>
      <w:r>
        <w:rPr>
          <w:rFonts w:ascii="SimSun" w:hAnsi="SimSun" w:eastAsia="SimSun"/>
          <w:color w:val="000000"/>
          <w:sz w:val="21"/>
        </w:rPr>
        <w:t>4）在实验组目录下查看生成的Kinematic_Evolution_Diagnostic.png和Salt_Profiles_Diagnostic_Grid.png。</w:t>
      </w:r>
    </w:p>
    <w:p>
      <w:r>
        <w:rPr>
          <w:rFonts w:ascii="SimSun" w:hAnsi="SimSun" w:eastAsia="SimSun"/>
          <w:color w:val="000000"/>
          <w:sz w:val="21"/>
        </w:rPr>
        <w:t>完成单组诊断后，用户可查看图表分析本组盐体的演化特征，或继续执行多组联合比对。</w:t>
      </w:r>
    </w:p>
    <w:p>
      <w:r>
        <w:rPr>
          <w:rFonts w:ascii="SimSun" w:hAnsi="SimSun" w:eastAsia="SimSun"/>
          <w:color w:val="000000"/>
          <w:sz w:val="21"/>
        </w:rPr>
        <w:t>【截图预留：生成的Kinematic_Evolution_Diagnostic.png演化轨迹图示例截图。】</w:t>
      </w:r>
    </w:p>
    <w:p>
      <w:pPr>
        <w:pStyle w:val="Heading3"/>
      </w:pPr>
      <w:r>
        <w:rPr>
          <w:color w:val="000000"/>
        </w:rPr>
        <w:t>5. 多组联合比对</w:t>
      </w:r>
    </w:p>
    <w:p>
      <w:r>
        <w:rPr>
          <w:rFonts w:ascii="SimSun" w:hAnsi="SimSun" w:eastAsia="SimSun"/>
          <w:color w:val="000000"/>
          <w:sz w:val="21"/>
        </w:rPr>
        <w:t>多组联合比对功能用于将所有实验组的运动学指标绘制到同一坐标系中进行横向比较。软件基于ProcessPoolExecutor多进程并行加载各组的CSV数据，在同一图中按不同颜色和标记绘制各组的高宽比、起伏和宽度的演化曲线，每张图同时输出PNG位图和PDF矢量图。</w:t>
      </w:r>
    </w:p>
    <w:p>
      <w:r>
        <w:rPr>
          <w:rFonts w:ascii="SimSun" w:hAnsi="SimSun" w:eastAsia="SimSun"/>
          <w:color w:val="000000"/>
          <w:sz w:val="21"/>
        </w:rPr>
        <w:t>该功能适合对比不同缩短速率、不同盐层厚度等参数条件下盐体演化行为的差异。</w:t>
      </w:r>
    </w:p>
    <w:p>
      <w:r>
        <w:rPr>
          <w:rFonts w:ascii="SimSun" w:hAnsi="SimSun" w:eastAsia="SimSun"/>
          <w:color w:val="000000"/>
          <w:sz w:val="21"/>
        </w:rPr>
        <w:t>操作步骤：</w:t>
      </w:r>
    </w:p>
    <w:p>
      <w:r>
        <w:rPr>
          <w:rFonts w:ascii="SimSun" w:hAnsi="SimSun" w:eastAsia="SimSun"/>
          <w:color w:val="000000"/>
          <w:sz w:val="21"/>
        </w:rPr>
        <w:t>1）确保所有实验组目录下均存在kinematics_data.csv文件。</w:t>
      </w:r>
    </w:p>
    <w:p>
      <w:r>
        <w:rPr>
          <w:rFonts w:ascii="SimSun" w:hAnsi="SimSun" w:eastAsia="SimSun"/>
          <w:color w:val="000000"/>
          <w:sz w:val="21"/>
        </w:rPr>
        <w:t>2）在终端中执行python 03_plot_multi_comparison.py。</w:t>
      </w:r>
    </w:p>
    <w:p>
      <w:r>
        <w:rPr>
          <w:rFonts w:ascii="SimSun" w:hAnsi="SimSun" w:eastAsia="SimSun"/>
          <w:color w:val="000000"/>
          <w:sz w:val="21"/>
        </w:rPr>
        <w:t>3）查看终端日志显示的各组数据加载和绘图完成信息。</w:t>
      </w:r>
    </w:p>
    <w:p>
      <w:r>
        <w:rPr>
          <w:rFonts w:ascii="SimSun" w:hAnsi="SimSun" w:eastAsia="SimSun"/>
          <w:color w:val="000000"/>
          <w:sz w:val="21"/>
        </w:rPr>
        <w:t>4）在输出目录下查看Multi_Evolution_HalfWidth、Multi_Evolution_Relief、Multi_Evolution_AspectRatio三个系列的PNG和PDF文件。</w:t>
      </w:r>
    </w:p>
    <w:p>
      <w:r>
        <w:rPr>
          <w:rFonts w:ascii="SimSun" w:hAnsi="SimSun" w:eastAsia="SimSun"/>
          <w:color w:val="000000"/>
          <w:sz w:val="21"/>
        </w:rPr>
        <w:t>完成多组对比后，用户可直接使用PNG或PDF文件用于学术论文发表。</w:t>
      </w:r>
    </w:p>
    <w:p>
      <w:r>
        <w:rPr>
          <w:rFonts w:ascii="SimSun" w:hAnsi="SimSun" w:eastAsia="SimSun"/>
          <w:color w:val="000000"/>
          <w:sz w:val="21"/>
        </w:rPr>
        <w:t>【截图预留：生成的多组高宽比对比图(Multi_Evolution_AspectRatio.png)示例截图。】</w:t>
      </w:r>
    </w:p>
    <w:p>
      <w:pPr>
        <w:pStyle w:val="Heading2"/>
      </w:pPr>
      <w:r>
        <w:rPr>
          <w:color w:val="000000"/>
        </w:rPr>
        <w:t>结果查看与注意事项</w:t>
      </w:r>
    </w:p>
    <w:p>
      <w:r>
        <w:rPr>
          <w:rFonts w:ascii="SimSun" w:hAnsi="SimSun" w:eastAsia="SimSun"/>
          <w:color w:val="000000"/>
          <w:sz w:val="21"/>
        </w:rPr>
        <w:t>数据提取结果保存到各实验组目录下，包括kinematics_data.csv（运动学指标表格）和profiles_cache.pkl（剖面缓存）。诊断图表保存到各实验组目录和总输出目录。</w:t>
      </w:r>
    </w:p>
    <w:p>
      <w:pPr>
        <w:pStyle w:val="Heading3"/>
      </w:pPr>
      <w:r>
        <w:rPr>
          <w:color w:val="000000"/>
        </w:rPr>
        <w:t>运动学指标说明</w:t>
      </w:r>
    </w:p>
    <w:p>
      <w:r>
        <w:rPr>
          <w:rFonts w:ascii="SimSun" w:hAnsi="SimSun" w:eastAsia="SimSun"/>
          <w:color w:val="000000"/>
          <w:sz w:val="21"/>
        </w:rPr>
        <w:t>本软件以ZDEM离散元粒子坐标数据为基础，通过表面包络线提取和特征点定位获得盐丘几何参数，进而计算运动学演化指标。数据提取结果和诊断图表中的主要指标含义如下表所示。</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r>
              <w:rPr>
                <w:color w:val="000000"/>
              </w:rPr>
              <w:t>序号</w:t>
            </w:r>
          </w:p>
        </w:tc>
        <w:tc>
          <w:tcPr>
            <w:tcW w:type="dxa" w:w="1734"/>
          </w:tcPr>
          <w:p>
            <w:r>
              <w:rPr>
                <w:color w:val="000000"/>
              </w:rPr>
              <w:t>指标名称</w:t>
            </w:r>
          </w:p>
        </w:tc>
        <w:tc>
          <w:tcPr>
            <w:tcW w:type="dxa" w:w="1734"/>
          </w:tcPr>
          <w:p>
            <w:r>
              <w:rPr>
                <w:color w:val="000000"/>
              </w:rPr>
              <w:t>CSV字段名</w:t>
            </w:r>
          </w:p>
        </w:tc>
        <w:tc>
          <w:tcPr>
            <w:tcW w:type="dxa" w:w="1734"/>
          </w:tcPr>
          <w:p>
            <w:r>
              <w:rPr>
                <w:color w:val="000000"/>
              </w:rPr>
              <w:t>指标含义</w:t>
            </w:r>
          </w:p>
        </w:tc>
        <w:tc>
          <w:tcPr>
            <w:tcW w:type="dxa" w:w="1734"/>
          </w:tcPr>
          <w:p>
            <w:r>
              <w:rPr>
                <w:color w:val="000000"/>
              </w:rPr>
              <w:t>计算方式或说明</w:t>
            </w:r>
          </w:p>
        </w:tc>
      </w:tr>
      <w:tr>
        <w:tc>
          <w:tcPr>
            <w:tcW w:type="dxa" w:w="1734"/>
          </w:tcPr>
          <w:p>
            <w:r>
              <w:rPr>
                <w:color w:val="000000"/>
              </w:rPr>
              <w:t>1</w:t>
            </w:r>
          </w:p>
        </w:tc>
        <w:tc>
          <w:tcPr>
            <w:tcW w:type="dxa" w:w="1734"/>
          </w:tcPr>
          <w:p>
            <w:r>
              <w:rPr>
                <w:color w:val="000000"/>
              </w:rPr>
              <w:t>时间步</w:t>
            </w:r>
          </w:p>
        </w:tc>
        <w:tc>
          <w:tcPr>
            <w:tcW w:type="dxa" w:w="1734"/>
          </w:tcPr>
          <w:p>
            <w:r>
              <w:rPr>
                <w:color w:val="000000"/>
              </w:rPr>
              <w:t>step</w:t>
            </w:r>
          </w:p>
        </w:tc>
        <w:tc>
          <w:tcPr>
            <w:tcW w:type="dxa" w:w="1734"/>
          </w:tcPr>
          <w:p>
            <w:r>
              <w:rPr>
                <w:color w:val="000000"/>
              </w:rPr>
              <w:t>当前分析对应的ZDEM输出时间步编号。</w:t>
            </w:r>
          </w:p>
        </w:tc>
        <w:tc>
          <w:tcPr>
            <w:tcW w:type="dxa" w:w="1734"/>
          </w:tcPr>
          <w:p>
            <w:r>
              <w:rPr>
                <w:color w:val="000000"/>
              </w:rPr>
              <w:t>由.dat文件名中的数字编号识别得到。</w:t>
            </w:r>
          </w:p>
        </w:tc>
      </w:tr>
      <w:tr>
        <w:tc>
          <w:tcPr>
            <w:tcW w:type="dxa" w:w="1734"/>
          </w:tcPr>
          <w:p>
            <w:r>
              <w:rPr>
                <w:color w:val="000000"/>
              </w:rPr>
              <w:t>2</w:t>
            </w:r>
          </w:p>
        </w:tc>
        <w:tc>
          <w:tcPr>
            <w:tcW w:type="dxa" w:w="1734"/>
          </w:tcPr>
          <w:p>
            <w:r>
              <w:rPr>
                <w:color w:val="000000"/>
              </w:rPr>
              <w:t>主峰X坐标</w:t>
            </w:r>
          </w:p>
        </w:tc>
        <w:tc>
          <w:tcPr>
            <w:tcW w:type="dxa" w:w="1734"/>
          </w:tcPr>
          <w:p>
            <w:r>
              <w:rPr>
                <w:color w:val="000000"/>
              </w:rPr>
              <w:t>top_x</w:t>
            </w:r>
          </w:p>
        </w:tc>
        <w:tc>
          <w:tcPr>
            <w:tcW w:type="dxa" w:w="1734"/>
          </w:tcPr>
          <w:p>
            <w:r>
              <w:rPr>
                <w:color w:val="000000"/>
              </w:rPr>
              <w:t>盐丘剖面顶点的水平位置。</w:t>
            </w:r>
          </w:p>
        </w:tc>
        <w:tc>
          <w:tcPr>
            <w:tcW w:type="dxa" w:w="1734"/>
          </w:tcPr>
          <w:p>
            <w:r>
              <w:rPr>
                <w:color w:val="000000"/>
              </w:rPr>
              <w:t>对平滑后的包络线应用find_peaks检测最显著峰值得到。</w:t>
            </w:r>
          </w:p>
        </w:tc>
      </w:tr>
      <w:tr>
        <w:tc>
          <w:tcPr>
            <w:tcW w:type="dxa" w:w="1734"/>
          </w:tcPr>
          <w:p>
            <w:r>
              <w:rPr>
                <w:color w:val="000000"/>
              </w:rPr>
              <w:t>3</w:t>
            </w:r>
          </w:p>
        </w:tc>
        <w:tc>
          <w:tcPr>
            <w:tcW w:type="dxa" w:w="1734"/>
          </w:tcPr>
          <w:p>
            <w:r>
              <w:rPr>
                <w:color w:val="000000"/>
              </w:rPr>
              <w:t>主峰高程</w:t>
            </w:r>
          </w:p>
        </w:tc>
        <w:tc>
          <w:tcPr>
            <w:tcW w:type="dxa" w:w="1734"/>
          </w:tcPr>
          <w:p>
            <w:r>
              <w:rPr>
                <w:color w:val="000000"/>
              </w:rPr>
              <w:t>top_y</w:t>
            </w:r>
          </w:p>
        </w:tc>
        <w:tc>
          <w:tcPr>
            <w:tcW w:type="dxa" w:w="1734"/>
          </w:tcPr>
          <w:p>
            <w:r>
              <w:rPr>
                <w:color w:val="000000"/>
              </w:rPr>
              <w:t>盐丘剖面顶点的高程值。</w:t>
            </w:r>
          </w:p>
        </w:tc>
        <w:tc>
          <w:tcPr>
            <w:tcW w:type="dxa" w:w="1734"/>
          </w:tcPr>
          <w:p>
            <w:r>
              <w:rPr>
                <w:color w:val="000000"/>
              </w:rPr>
              <w:t>包络线在主峰X坐标处的高程值。</w:t>
            </w:r>
          </w:p>
        </w:tc>
      </w:tr>
      <w:tr>
        <w:tc>
          <w:tcPr>
            <w:tcW w:type="dxa" w:w="1734"/>
          </w:tcPr>
          <w:p>
            <w:r>
              <w:rPr>
                <w:color w:val="000000"/>
              </w:rPr>
              <w:t>4</w:t>
            </w:r>
          </w:p>
        </w:tc>
        <w:tc>
          <w:tcPr>
            <w:tcW w:type="dxa" w:w="1734"/>
          </w:tcPr>
          <w:p>
            <w:r>
              <w:rPr>
                <w:color w:val="000000"/>
              </w:rPr>
              <w:t>基点X坐标</w:t>
            </w:r>
          </w:p>
        </w:tc>
        <w:tc>
          <w:tcPr>
            <w:tcW w:type="dxa" w:w="1734"/>
          </w:tcPr>
          <w:p>
            <w:r>
              <w:rPr>
                <w:color w:val="000000"/>
              </w:rPr>
              <w:t>base_x</w:t>
            </w:r>
          </w:p>
        </w:tc>
        <w:tc>
          <w:tcPr>
            <w:tcW w:type="dxa" w:w="1734"/>
          </w:tcPr>
          <w:p>
            <w:r>
              <w:rPr>
                <w:color w:val="000000"/>
              </w:rPr>
              <w:t>盐丘边缘向斜最低点的水平位置。</w:t>
            </w:r>
          </w:p>
        </w:tc>
        <w:tc>
          <w:tcPr>
            <w:tcW w:type="dxa" w:w="1734"/>
          </w:tcPr>
          <w:p>
            <w:r>
              <w:rPr>
                <w:color w:val="000000"/>
              </w:rPr>
              <w:t>采用坑底探测与反弹判定算法从峰顶向外扫描得到。</w:t>
            </w:r>
          </w:p>
        </w:tc>
      </w:tr>
      <w:tr>
        <w:tc>
          <w:tcPr>
            <w:tcW w:type="dxa" w:w="1734"/>
          </w:tcPr>
          <w:p>
            <w:r>
              <w:rPr>
                <w:color w:val="000000"/>
              </w:rPr>
              <w:t>5</w:t>
            </w:r>
          </w:p>
        </w:tc>
        <w:tc>
          <w:tcPr>
            <w:tcW w:type="dxa" w:w="1734"/>
          </w:tcPr>
          <w:p>
            <w:r>
              <w:rPr>
                <w:color w:val="000000"/>
              </w:rPr>
              <w:t>基点高程</w:t>
            </w:r>
          </w:p>
        </w:tc>
        <w:tc>
          <w:tcPr>
            <w:tcW w:type="dxa" w:w="1734"/>
          </w:tcPr>
          <w:p>
            <w:r>
              <w:rPr>
                <w:color w:val="000000"/>
              </w:rPr>
              <w:t>base_y</w:t>
            </w:r>
          </w:p>
        </w:tc>
        <w:tc>
          <w:tcPr>
            <w:tcW w:type="dxa" w:w="1734"/>
          </w:tcPr>
          <w:p>
            <w:r>
              <w:rPr>
                <w:color w:val="000000"/>
              </w:rPr>
              <w:t>盐丘边缘向斜最低点的高程值。</w:t>
            </w:r>
          </w:p>
        </w:tc>
        <w:tc>
          <w:tcPr>
            <w:tcW w:type="dxa" w:w="1734"/>
          </w:tcPr>
          <w:p>
            <w:r>
              <w:rPr>
                <w:color w:val="000000"/>
              </w:rPr>
              <w:t>包络线在基点X坐标处的高程值。</w:t>
            </w:r>
          </w:p>
        </w:tc>
      </w:tr>
      <w:tr>
        <w:tc>
          <w:tcPr>
            <w:tcW w:type="dxa" w:w="1734"/>
          </w:tcPr>
          <w:p>
            <w:r>
              <w:rPr>
                <w:color w:val="000000"/>
              </w:rPr>
              <w:t>6</w:t>
            </w:r>
          </w:p>
        </w:tc>
        <w:tc>
          <w:tcPr>
            <w:tcW w:type="dxa" w:w="1734"/>
          </w:tcPr>
          <w:p>
            <w:r>
              <w:rPr>
                <w:color w:val="000000"/>
              </w:rPr>
              <w:t>起伏</w:t>
            </w:r>
          </w:p>
        </w:tc>
        <w:tc>
          <w:tcPr>
            <w:tcW w:type="dxa" w:w="1734"/>
          </w:tcPr>
          <w:p>
            <w:r>
              <w:rPr>
                <w:color w:val="000000"/>
              </w:rPr>
              <w:t>relief</w:t>
            </w:r>
          </w:p>
        </w:tc>
        <w:tc>
          <w:tcPr>
            <w:tcW w:type="dxa" w:w="1734"/>
          </w:tcPr>
          <w:p>
            <w:r>
              <w:rPr>
                <w:color w:val="000000"/>
              </w:rPr>
              <w:t>盐丘顶点到基点的高程差，反映盐体的隆起程度。</w:t>
            </w:r>
          </w:p>
        </w:tc>
        <w:tc>
          <w:tcPr>
            <w:tcW w:type="dxa" w:w="1734"/>
          </w:tcPr>
          <w:p>
            <w:r>
              <w:rPr>
                <w:color w:val="000000"/>
              </w:rPr>
              <w:t>relief = top_y - base_y。数值增大表示盐体持续抬升。</w:t>
            </w:r>
          </w:p>
        </w:tc>
      </w:tr>
      <w:tr>
        <w:tc>
          <w:tcPr>
            <w:tcW w:type="dxa" w:w="1734"/>
          </w:tcPr>
          <w:p>
            <w:r>
              <w:rPr>
                <w:color w:val="000000"/>
              </w:rPr>
              <w:t>7</w:t>
            </w:r>
          </w:p>
        </w:tc>
        <w:tc>
          <w:tcPr>
            <w:tcW w:type="dxa" w:w="1734"/>
          </w:tcPr>
          <w:p>
            <w:r>
              <w:rPr>
                <w:color w:val="000000"/>
              </w:rPr>
              <w:t>宽度</w:t>
            </w:r>
          </w:p>
        </w:tc>
        <w:tc>
          <w:tcPr>
            <w:tcW w:type="dxa" w:w="1734"/>
          </w:tcPr>
          <w:p>
            <w:r>
              <w:rPr>
                <w:color w:val="000000"/>
              </w:rPr>
              <w:t>half_width</w:t>
            </w:r>
          </w:p>
        </w:tc>
        <w:tc>
          <w:tcPr>
            <w:tcW w:type="dxa" w:w="1734"/>
          </w:tcPr>
          <w:p>
            <w:r>
              <w:rPr>
                <w:color w:val="000000"/>
              </w:rPr>
              <w:t>盐丘顶点到基点的水平距离，反映盐体的横向展布范围。</w:t>
            </w:r>
          </w:p>
        </w:tc>
        <w:tc>
          <w:tcPr>
            <w:tcW w:type="dxa" w:w="1734"/>
          </w:tcPr>
          <w:p>
            <w:r>
              <w:rPr>
                <w:color w:val="000000"/>
              </w:rPr>
              <w:t>half_width = abs(top_x - base_x)。随构造缩短而变化。</w:t>
            </w:r>
          </w:p>
        </w:tc>
      </w:tr>
      <w:tr>
        <w:tc>
          <w:tcPr>
            <w:tcW w:type="dxa" w:w="1734"/>
          </w:tcPr>
          <w:p>
            <w:r>
              <w:rPr>
                <w:color w:val="000000"/>
              </w:rPr>
              <w:t>8</w:t>
            </w:r>
          </w:p>
        </w:tc>
        <w:tc>
          <w:tcPr>
            <w:tcW w:type="dxa" w:w="1734"/>
          </w:tcPr>
          <w:p>
            <w:r>
              <w:rPr>
                <w:color w:val="000000"/>
              </w:rPr>
              <w:t>高宽比</w:t>
            </w:r>
          </w:p>
        </w:tc>
        <w:tc>
          <w:tcPr>
            <w:tcW w:type="dxa" w:w="1734"/>
          </w:tcPr>
          <w:p>
            <w:r>
              <w:rPr>
                <w:color w:val="000000"/>
              </w:rPr>
              <w:t>aspect_ratio</w:t>
            </w:r>
          </w:p>
        </w:tc>
        <w:tc>
          <w:tcPr>
            <w:tcW w:type="dxa" w:w="1734"/>
          </w:tcPr>
          <w:p>
            <w:r>
              <w:rPr>
                <w:color w:val="000000"/>
              </w:rPr>
              <w:t>盐体起伏与半宽的比值，衡量盐丘形态的演化阶段。</w:t>
            </w:r>
          </w:p>
        </w:tc>
        <w:tc>
          <w:tcPr>
            <w:tcW w:type="dxa" w:w="1734"/>
          </w:tcPr>
          <w:p>
            <w:r>
              <w:rPr>
                <w:color w:val="000000"/>
              </w:rPr>
              <w:t>aspect_ratio = relief / half_width。数值增大表示盐体从低缓隆起向高耸形态发展。</w:t>
            </w:r>
          </w:p>
        </w:tc>
      </w:tr>
      <w:tr>
        <w:tc>
          <w:tcPr>
            <w:tcW w:type="dxa" w:w="1734"/>
          </w:tcPr>
          <w:p>
            <w:r>
              <w:rPr>
                <w:color w:val="000000"/>
              </w:rPr>
              <w:t>9</w:t>
            </w:r>
          </w:p>
        </w:tc>
        <w:tc>
          <w:tcPr>
            <w:tcW w:type="dxa" w:w="1734"/>
          </w:tcPr>
          <w:p>
            <w:r>
              <w:rPr>
                <w:color w:val="000000"/>
              </w:rPr>
              <w:t>缩短量</w:t>
            </w:r>
          </w:p>
        </w:tc>
        <w:tc>
          <w:tcPr>
            <w:tcW w:type="dxa" w:w="1734"/>
          </w:tcPr>
          <w:p>
            <w:r>
              <w:rPr>
                <w:color w:val="000000"/>
              </w:rPr>
              <w:t>shortening</w:t>
            </w:r>
          </w:p>
        </w:tc>
        <w:tc>
          <w:tcPr>
            <w:tcW w:type="dxa" w:w="1734"/>
          </w:tcPr>
          <w:p>
            <w:r>
              <w:rPr>
                <w:color w:val="000000"/>
              </w:rPr>
              <w:t>推板自初始位置以来的水平位移量。</w:t>
            </w:r>
          </w:p>
        </w:tc>
        <w:tc>
          <w:tcPr>
            <w:tcW w:type="dxa" w:w="1734"/>
          </w:tcPr>
          <w:p>
            <w:r>
              <w:rPr>
                <w:color w:val="000000"/>
              </w:rPr>
              <w:t>由墙体位置的变化量计算得到，作为演化曲线的横轴。</w:t>
            </w:r>
          </w:p>
        </w:tc>
      </w:tr>
      <w:tr>
        <w:tc>
          <w:tcPr>
            <w:tcW w:type="dxa" w:w="1734"/>
          </w:tcPr>
          <w:p>
            <w:r>
              <w:rPr>
                <w:color w:val="000000"/>
              </w:rPr>
              <w:t>10</w:t>
            </w:r>
          </w:p>
        </w:tc>
        <w:tc>
          <w:tcPr>
            <w:tcW w:type="dxa" w:w="1734"/>
          </w:tcPr>
          <w:p>
            <w:r>
              <w:rPr>
                <w:color w:val="000000"/>
              </w:rPr>
              <w:t>采样帧</w:t>
            </w:r>
          </w:p>
        </w:tc>
        <w:tc>
          <w:tcPr>
            <w:tcW w:type="dxa" w:w="1734"/>
          </w:tcPr>
          <w:p>
            <w:r>
              <w:rPr>
                <w:color w:val="000000"/>
              </w:rPr>
              <w:t>sampled_frame</w:t>
            </w:r>
          </w:p>
        </w:tc>
        <w:tc>
          <w:tcPr>
            <w:tcW w:type="dxa" w:w="1734"/>
          </w:tcPr>
          <w:p>
            <w:r>
              <w:rPr>
                <w:color w:val="000000"/>
              </w:rPr>
              <w:t>按时间步间隔采样后保留的分析帧编号。</w:t>
            </w:r>
          </w:p>
        </w:tc>
        <w:tc>
          <w:tcPr>
            <w:tcW w:type="dxa" w:w="1734"/>
          </w:tcPr>
          <w:p>
            <w:r>
              <w:rPr>
                <w:color w:val="000000"/>
              </w:rPr>
              <w:t>原数据帧数较多时，按出露前和出露后分别等距采样以减少冗余。</w:t>
            </w:r>
          </w:p>
        </w:tc>
      </w:tr>
    </w:tbl>
    <w:p>
      <w:pPr>
        <w:pStyle w:val="Heading3"/>
      </w:pPr>
      <w:r>
        <w:rPr>
          <w:color w:val="000000"/>
        </w:rPr>
        <w:t>术语表</w:t>
      </w:r>
    </w:p>
    <w:tbl>
      <w:tblPr>
        <w:tblStyle w:val="TableGrid"/>
        <w:tblW w:type="auto" w:w="0"/>
        <w:tblLook w:firstColumn="1" w:firstRow="1" w:lastColumn="0" w:lastRow="0" w:noHBand="0" w:noVBand="1" w:val="04A0"/>
      </w:tblPr>
      <w:tblGrid>
        <w:gridCol w:w="4334"/>
        <w:gridCol w:w="4334"/>
      </w:tblGrid>
      <w:tr>
        <w:tc>
          <w:tcPr>
            <w:tcW w:type="dxa" w:w="4334"/>
          </w:tcPr>
          <w:p>
            <w:r>
              <w:rPr>
                <w:color w:val="000000"/>
              </w:rPr>
              <w:t>术语</w:t>
            </w:r>
          </w:p>
        </w:tc>
        <w:tc>
          <w:tcPr>
            <w:tcW w:type="dxa" w:w="4334"/>
          </w:tcPr>
          <w:p>
            <w:r>
              <w:rPr>
                <w:color w:val="000000"/>
              </w:rPr>
              <w:t>解释</w:t>
            </w:r>
          </w:p>
        </w:tc>
      </w:tr>
      <w:tr>
        <w:tc>
          <w:tcPr>
            <w:tcW w:type="dxa" w:w="4334"/>
          </w:tcPr>
          <w:p>
            <w:r>
              <w:rPr>
                <w:color w:val="000000"/>
              </w:rPr>
              <w:t>ZDEM</w:t>
            </w:r>
          </w:p>
        </w:tc>
        <w:tc>
          <w:tcPr>
            <w:tcW w:type="dxa" w:w="4334"/>
          </w:tcPr>
          <w:p>
            <w:r>
              <w:rPr>
                <w:color w:val="000000"/>
              </w:rPr>
              <w:t>中-离散元方法(Zhong-Discrete Element Method)，一种用于模拟地质构造变形过程的数值方法。</w:t>
            </w:r>
          </w:p>
        </w:tc>
      </w:tr>
      <w:tr>
        <w:tc>
          <w:tcPr>
            <w:tcW w:type="dxa" w:w="4334"/>
          </w:tcPr>
          <w:p>
            <w:r>
              <w:rPr>
                <w:color w:val="000000"/>
              </w:rPr>
              <w:t>盐丘(Salt Diapir)</w:t>
            </w:r>
          </w:p>
        </w:tc>
        <w:tc>
          <w:tcPr>
            <w:tcW w:type="dxa" w:w="4334"/>
          </w:tcPr>
          <w:p>
            <w:r>
              <w:rPr>
                <w:color w:val="000000"/>
              </w:rPr>
              <w:t>地下盐层在构造挤压或重力作用下向上隆起形成的穹隆状构造体。</w:t>
            </w:r>
          </w:p>
        </w:tc>
      </w:tr>
      <w:tr>
        <w:tc>
          <w:tcPr>
            <w:tcW w:type="dxa" w:w="4334"/>
          </w:tcPr>
          <w:p>
            <w:r>
              <w:rPr>
                <w:color w:val="000000"/>
              </w:rPr>
              <w:t>主峰(Crest)</w:t>
            </w:r>
          </w:p>
        </w:tc>
        <w:tc>
          <w:tcPr>
            <w:tcW w:type="dxa" w:w="4334"/>
          </w:tcPr>
          <w:p>
            <w:r>
              <w:rPr>
                <w:color w:val="000000"/>
              </w:rPr>
              <w:t>盐丘剖面上的最高点，即盐体隆起的顶端位置。</w:t>
            </w:r>
          </w:p>
        </w:tc>
      </w:tr>
      <w:tr>
        <w:tc>
          <w:tcPr>
            <w:tcW w:type="dxa" w:w="4334"/>
          </w:tcPr>
          <w:p>
            <w:r>
              <w:rPr>
                <w:color w:val="000000"/>
              </w:rPr>
              <w:t>基点/边缘向斜(Rim Syncline)</w:t>
            </w:r>
          </w:p>
        </w:tc>
        <w:tc>
          <w:tcPr>
            <w:tcW w:type="dxa" w:w="4334"/>
          </w:tcPr>
          <w:p>
            <w:r>
              <w:rPr>
                <w:color w:val="000000"/>
              </w:rPr>
              <w:t>盐丘两侧的凹陷最低点，标志盐体隆起的横向边界。</w:t>
            </w:r>
          </w:p>
        </w:tc>
      </w:tr>
      <w:tr>
        <w:tc>
          <w:tcPr>
            <w:tcW w:type="dxa" w:w="4334"/>
          </w:tcPr>
          <w:p>
            <w:r>
              <w:rPr>
                <w:color w:val="000000"/>
              </w:rPr>
              <w:t>高宽比(Aspect Ratio)</w:t>
            </w:r>
          </w:p>
        </w:tc>
        <w:tc>
          <w:tcPr>
            <w:tcW w:type="dxa" w:w="4334"/>
          </w:tcPr>
          <w:p>
            <w:r>
              <w:rPr>
                <w:color w:val="000000"/>
              </w:rPr>
              <w:t>盐体起伏高度与半宽的比值，衡量盐丘形态演化阶段的核心无量纲指标。</w:t>
            </w:r>
          </w:p>
        </w:tc>
      </w:tr>
      <w:tr>
        <w:tc>
          <w:tcPr>
            <w:tcW w:type="dxa" w:w="4334"/>
          </w:tcPr>
          <w:p>
            <w:r>
              <w:rPr>
                <w:color w:val="000000"/>
              </w:rPr>
              <w:t>Savitzky-Golay滤波</w:t>
            </w:r>
          </w:p>
        </w:tc>
        <w:tc>
          <w:tcPr>
            <w:tcW w:type="dxa" w:w="4334"/>
          </w:tcPr>
          <w:p>
            <w:r>
              <w:rPr>
                <w:color w:val="000000"/>
              </w:rPr>
              <w:t>基于局部多项式拟合的数据平滑方法，在保持峰形特征的同时滤除高频噪声。</w:t>
            </w:r>
          </w:p>
        </w:tc>
      </w:tr>
    </w:tbl>
    <w:p>
      <w:r>
        <w:rPr>
          <w:rFonts w:ascii="SimSun" w:hAnsi="SimSun" w:eastAsia="SimSun"/>
          <w:color w:val="000000"/>
          <w:sz w:val="21"/>
        </w:rPr>
        <w:t>【截图预留：请在上述标注位置插入对应截图。】</w:t>
      </w:r>
    </w:p>
    <w:sectPr w:rsidR="00FC693F" w:rsidRPr="0006063C" w:rsidSect="00034616">
      <w:headerReference w:type="default" r:id="rId9"/>
      <w:footerReference w:type="default" r:id="rId10"/>
      <w:pgSz w:w="11906" w:h="16838"/>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rPr>
    </w:r>
  </w:p>
  <w:tbl>
    <w:tblPr>
      <w:tblW w:type="auto" w:w="0"/>
      <w:tblLayout w:type="autofit"/>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0" w:after="0" w:lineRule="exact" w:line="240"/>
            <w:jc w:val="left"/>
          </w:pPr>
          <w:r>
            <w:rPr>
              <w:rFonts w:ascii="SimSun" w:hAnsi="SimSun" w:eastAsia="SimSun"/>
              <w:color w:val="000000"/>
              <w:sz w:val="16"/>
            </w:rPr>
            <w:t>ZDEM盐体运动学分析系统 V1.0.0</w:t>
          </w:r>
        </w:p>
      </w:tc>
      <w:tc>
        <w:tcPr>
          <w:tcW w:type="dxa" w:w="4961"/>
          <w:tcBorders>
            <w:top w:val="nil"/>
            <w:left w:val="nil"/>
            <w:bottom w:val="nil"/>
            <w:right w:val="nil"/>
          </w:tcBorders>
        </w:tcPr>
        <w:p>
          <w:pPr>
            <w:spacing w:before="0" w:after="0" w:lineRule="exact" w:line="240"/>
            <w:jc w:val="right"/>
          </w:pPr>
          <w:r>
            <w:rPr>
              <w:rFonts w:ascii="SimSun" w:hAnsi="SimSun" w:eastAsia="SimSun"/>
              <w:color w:val="000000"/>
              <w:sz w:val="16"/>
            </w:rPr>
            <w:t xml:space="preserve">第 </w:t>
          </w:r>
          <w:r>
            <w:rPr>
              <w:rFonts w:ascii="SimSun" w:hAnsi="SimSun" w:eastAsia="SimSun"/>
              <w:color w:val="000000"/>
              <w:sz w:val="16"/>
            </w:rPr>
            <w:fldChar w:fldCharType="begin"/>
          </w:r>
          <w:r>
            <w:rPr>
              <w:rFonts w:ascii="SimSun" w:hAnsi="SimSun" w:eastAsia="SimSun"/>
              <w:color w:val="000000"/>
              <w:sz w:val="16"/>
            </w:rPr>
            <w:instrText xml:space="preserve"> PAGE </w:instrText>
          </w:r>
          <w:r>
            <w:rPr>
              <w:rFonts w:ascii="SimSun" w:hAnsi="SimSun" w:eastAsia="SimSun"/>
              <w:color w:val="000000"/>
              <w:sz w:val="16"/>
            </w:rPr>
            <w:fldChar w:fldCharType="separate"/>
          </w:r>
          <w:r>
            <w:rPr>
              <w:rFonts w:ascii="SimSun" w:hAnsi="SimSun" w:eastAsia="SimSun"/>
              <w:color w:val="000000"/>
              <w:sz w:val="16"/>
            </w:rPr>
            <w:t>1</w:t>
          </w:r>
          <w:r>
            <w:rPr>
              <w:rFonts w:ascii="SimSun" w:hAnsi="SimSun" w:eastAsia="SimSun"/>
              <w:color w:val="000000"/>
              <w:sz w:val="16"/>
            </w:rPr>
            <w:fldChar w:fldCharType="end"/>
          </w:r>
          <w:r>
            <w:rPr>
              <w:rFonts w:ascii="SimSun" w:hAnsi="SimSun" w:eastAsia="SimSun"/>
              <w:color w:val="000000"/>
              <w:sz w:val="16"/>
            </w:rPr>
            <w:t xml:space="preserve"> 页</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color w:val="000000"/>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color w:val="000000"/>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color w:val="000000"/>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color w:val="00000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color w:val="000000"/>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color w:val="000000"/>
    </w:rPr>
  </w:style>
  <w:style w:type="character" w:customStyle="1" w:styleId="BodyText3Char">
    <w:name w:val="Body Text 3 Char"/>
    <w:basedOn w:val="DefaultParagraphFont"/>
    <w:link w:val="BodyText3"/>
    <w:uiPriority w:val="99"/>
    <w:rsid w:val="00AA1D8D"/>
    <w:rPr>
      <w:sz w:val="16"/>
      <w:szCs w:val="16"/>
      <w:color w:val="000000"/>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color w:val="000000"/>
    </w:rPr>
  </w:style>
  <w:style w:type="character" w:customStyle="1" w:styleId="MacroTextChar">
    <w:name w:val="Macro Text Char"/>
    <w:basedOn w:val="DefaultParagraphFont"/>
    <w:link w:val="MacroText"/>
    <w:uiPriority w:val="99"/>
    <w:rsid w:val="0029639D"/>
    <w:rPr>
      <w:rFonts w:ascii="Courier" w:hAnsi="Courier"/>
      <w:sz w:val="20"/>
      <w:szCs w:val="20"/>
      <w:color w:val="00000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color w:val="000000"/>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color w:val="000000"/>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color w:val="000000"/>
      </w:rPr>
    </w:tblStylePr>
    <w:tblStylePr w:type="lastCol">
      <w:rPr>
        <w:b/>
        <w:bCs/>
        <w:color w:val="000000"/>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color w:val="000000"/>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color w:val="000000"/>
      </w:rPr>
    </w:tblStylePr>
    <w:tblStylePr w:type="lastCol">
      <w:rPr>
        <w:b/>
        <w:bCs/>
        <w:color w:val="000000"/>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color w:val="000000"/>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color w:val="000000"/>
      </w:rPr>
    </w:tblStylePr>
    <w:tblStylePr w:type="lastCol">
      <w:rPr>
        <w:b/>
        <w:bCs/>
        <w:color w:val="000000"/>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color w:val="000000"/>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color w:val="000000"/>
      </w:rPr>
    </w:tblStylePr>
    <w:tblStylePr w:type="lastCol">
      <w:rPr>
        <w:b/>
        <w:bCs/>
        <w:color w:val="000000"/>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color w:val="000000"/>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color w:val="000000"/>
      </w:rPr>
    </w:tblStylePr>
    <w:tblStylePr w:type="lastCol">
      <w:rPr>
        <w:b/>
        <w:bCs/>
        <w:color w:val="000000"/>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color w:val="000000"/>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color w:val="000000"/>
      </w:rPr>
    </w:tblStylePr>
    <w:tblStylePr w:type="lastCol">
      <w:rPr>
        <w:b/>
        <w:bCs/>
        <w:color w:val="000000"/>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color w:val="000000"/>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color w:val="000000"/>
      </w:rPr>
    </w:tblStylePr>
    <w:tblStylePr w:type="lastCol">
      <w:rPr>
        <w:b/>
        <w:bCs/>
        <w:color w:val="000000"/>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color w:val="000000"/>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color w:val="000000"/>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color w:val="000000"/>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color w:val="000000"/>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color w:val="000000"/>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color w:val="000000"/>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color w:val="000000"/>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color w:val="000000"/>
      </w:rPr>
    </w:tblStylePr>
    <w:tblStylePr w:type="lastCol">
      <w:rPr>
        <w:b/>
        <w:bCs/>
        <w:color w:val="000000"/>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color w:val="000000"/>
      </w:rPr>
    </w:tblStylePr>
    <w:tblStylePr w:type="lastCol">
      <w:rPr>
        <w:b/>
        <w:bCs/>
        <w:color w:val="000000"/>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color w:val="000000"/>
      </w:rPr>
    </w:tblStylePr>
    <w:tblStylePr w:type="lastCol">
      <w:rPr>
        <w:b/>
        <w:bCs/>
        <w:color w:val="000000"/>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color w:val="000000"/>
      </w:rPr>
    </w:tblStylePr>
    <w:tblStylePr w:type="lastCol">
      <w:rPr>
        <w:b/>
        <w:bCs/>
        <w:color w:val="000000"/>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color w:val="000000"/>
      </w:rPr>
    </w:tblStylePr>
    <w:tblStylePr w:type="lastCol">
      <w:rPr>
        <w:b/>
        <w:bCs/>
        <w:color w:val="000000"/>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color w:val="000000"/>
      </w:rPr>
    </w:tblStylePr>
    <w:tblStylePr w:type="lastCol">
      <w:rPr>
        <w:b/>
        <w:bCs/>
        <w:color w:val="000000"/>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color w:val="000000"/>
      </w:rPr>
    </w:tblStylePr>
    <w:tblStylePr w:type="lastCol">
      <w:rPr>
        <w:b/>
        <w:bCs/>
        <w:color w:val="000000"/>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color w:val="000000"/>
      </w:rPr>
    </w:tblStylePr>
    <w:tblStylePr w:type="lastRow">
      <w:rPr>
        <w:b/>
        <w:bCs/>
        <w:color w:val="000000"/>
      </w:rPr>
      <w:tblPr/>
      <w:tcPr>
        <w:tcBorders>
          <w:top w:val="single" w:sz="18" w:space="0" w:color="404040" w:themeColor="text1" w:themeTint="BF"/>
        </w:tcBorders>
      </w:tcPr>
    </w:tblStylePr>
    <w:tblStylePr w:type="firstCol">
      <w:rPr>
        <w:b/>
        <w:bCs/>
        <w:color w:val="000000"/>
      </w:rPr>
    </w:tblStylePr>
    <w:tblStylePr w:type="lastCol">
      <w:rPr>
        <w:b/>
        <w:bCs/>
        <w:color w:val="000000"/>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color w:val="000000"/>
      </w:rPr>
    </w:tblStylePr>
    <w:tblStylePr w:type="lastRow">
      <w:rPr>
        <w:b/>
        <w:bCs/>
        <w:color w:val="000000"/>
      </w:rPr>
      <w:tblPr/>
      <w:tcPr>
        <w:tcBorders>
          <w:top w:val="single" w:sz="18" w:space="0" w:color="7BA0CD" w:themeColor="accent1" w:themeTint="BF"/>
        </w:tcBorders>
      </w:tcPr>
    </w:tblStylePr>
    <w:tblStylePr w:type="firstCol">
      <w:rPr>
        <w:b/>
        <w:bCs/>
        <w:color w:val="000000"/>
      </w:rPr>
    </w:tblStylePr>
    <w:tblStylePr w:type="lastCol">
      <w:rPr>
        <w:b/>
        <w:bCs/>
        <w:color w:val="000000"/>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color w:val="000000"/>
      </w:rPr>
    </w:tblStylePr>
    <w:tblStylePr w:type="lastRow">
      <w:rPr>
        <w:b/>
        <w:bCs/>
        <w:color w:val="000000"/>
      </w:rPr>
      <w:tblPr/>
      <w:tcPr>
        <w:tcBorders>
          <w:top w:val="single" w:sz="18" w:space="0" w:color="CF7B79" w:themeColor="accent2" w:themeTint="BF"/>
        </w:tcBorders>
      </w:tcPr>
    </w:tblStylePr>
    <w:tblStylePr w:type="firstCol">
      <w:rPr>
        <w:b/>
        <w:bCs/>
        <w:color w:val="000000"/>
      </w:rPr>
    </w:tblStylePr>
    <w:tblStylePr w:type="lastCol">
      <w:rPr>
        <w:b/>
        <w:bCs/>
        <w:color w:val="000000"/>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color w:val="000000"/>
      </w:rPr>
    </w:tblStylePr>
    <w:tblStylePr w:type="lastRow">
      <w:rPr>
        <w:b/>
        <w:bCs/>
        <w:color w:val="000000"/>
      </w:rPr>
      <w:tblPr/>
      <w:tcPr>
        <w:tcBorders>
          <w:top w:val="single" w:sz="18" w:space="0" w:color="B3CC82" w:themeColor="accent3" w:themeTint="BF"/>
        </w:tcBorders>
      </w:tcPr>
    </w:tblStylePr>
    <w:tblStylePr w:type="firstCol">
      <w:rPr>
        <w:b/>
        <w:bCs/>
        <w:color w:val="000000"/>
      </w:rPr>
    </w:tblStylePr>
    <w:tblStylePr w:type="lastCol">
      <w:rPr>
        <w:b/>
        <w:bCs/>
        <w:color w:val="000000"/>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color w:val="000000"/>
      </w:rPr>
    </w:tblStylePr>
    <w:tblStylePr w:type="lastRow">
      <w:rPr>
        <w:b/>
        <w:bCs/>
        <w:color w:val="000000"/>
      </w:rPr>
      <w:tblPr/>
      <w:tcPr>
        <w:tcBorders>
          <w:top w:val="single" w:sz="18" w:space="0" w:color="9F8AB9" w:themeColor="accent4" w:themeTint="BF"/>
        </w:tcBorders>
      </w:tcPr>
    </w:tblStylePr>
    <w:tblStylePr w:type="firstCol">
      <w:rPr>
        <w:b/>
        <w:bCs/>
        <w:color w:val="000000"/>
      </w:rPr>
    </w:tblStylePr>
    <w:tblStylePr w:type="lastCol">
      <w:rPr>
        <w:b/>
        <w:bCs/>
        <w:color w:val="000000"/>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color w:val="000000"/>
      </w:rPr>
    </w:tblStylePr>
    <w:tblStylePr w:type="lastRow">
      <w:rPr>
        <w:b/>
        <w:bCs/>
        <w:color w:val="000000"/>
      </w:rPr>
      <w:tblPr/>
      <w:tcPr>
        <w:tcBorders>
          <w:top w:val="single" w:sz="18" w:space="0" w:color="78C0D4" w:themeColor="accent5" w:themeTint="BF"/>
        </w:tcBorders>
      </w:tcPr>
    </w:tblStylePr>
    <w:tblStylePr w:type="firstCol">
      <w:rPr>
        <w:b/>
        <w:bCs/>
        <w:color w:val="000000"/>
      </w:rPr>
    </w:tblStylePr>
    <w:tblStylePr w:type="lastCol">
      <w:rPr>
        <w:b/>
        <w:bCs/>
        <w:color w:val="000000"/>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color w:val="000000"/>
      </w:rPr>
    </w:tblStylePr>
    <w:tblStylePr w:type="lastRow">
      <w:rPr>
        <w:b/>
        <w:bCs/>
        <w:color w:val="000000"/>
      </w:rPr>
      <w:tblPr/>
      <w:tcPr>
        <w:tcBorders>
          <w:top w:val="single" w:sz="18" w:space="0" w:color="F9B074" w:themeColor="accent6" w:themeTint="BF"/>
        </w:tcBorders>
      </w:tcPr>
    </w:tblStylePr>
    <w:tblStylePr w:type="firstCol">
      <w:rPr>
        <w:b/>
        <w:bCs/>
        <w:color w:val="000000"/>
      </w:rPr>
    </w:tblStylePr>
    <w:tblStylePr w:type="lastCol">
      <w:rPr>
        <w:b/>
        <w:bCs/>
        <w:color w:val="000000"/>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000000"/>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000000"/>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000000"/>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000000"/>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000000"/>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000000"/>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000000"/>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