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0"/>
        <w:jc w:val="center"/>
      </w:pPr>
      <w:r>
        <w:rPr>
          <w:rFonts w:ascii="Arial" w:cs="Arial" w:eastAsia="Arial" w:hAnsi="Arial"/>
          <w:b/>
          <w:bCs/>
          <w:color w:val="1F3864"/>
          <w:sz w:val="48"/>
          <w:szCs w:val="48"/>
        </w:rPr>
        <w:t xml:space="preserve">Apache Iceberg — Concepts &amp; Outils</w:t>
      </w:r>
    </w:p>
    <w:p>
      <w:pPr>
        <w:spacing w:after="260" w:before="0"/>
        <w:jc w:val="center"/>
      </w:pPr>
      <w:r>
        <w:rPr>
          <w:rFonts w:ascii="Arial" w:cs="Arial" w:eastAsia="Arial" w:hAnsi="Arial"/>
          <w:i/>
          <w:iCs/>
          <w:color w:val="888888"/>
          <w:sz w:val="22"/>
          <w:szCs w:val="22"/>
        </w:rPr>
        <w:t xml:space="preserve">Annexe technique détaillée</w:t>
      </w:r>
    </w:p>
    <w:p>
      <w:pPr>
        <w:pBdr>
          <w:bottom w:val="single" w:color="2E75B6" w:sz="10" w:space="1"/>
        </w:pBdr>
      </w:pPr>
      <w:r>
        <w:rPr>
          <w:rFonts w:ascii="Arial" w:cs="Arial" w:eastAsia="Arial" w:hAnsi="Arial"/>
          <w:sz w:val="21"/>
          <w:szCs w:val="21"/>
        </w:rPr>
        <w:t xml:space="preserve"/>
      </w:r>
    </w:p>
    <w:p>
      <w:pPr>
        <w:pBdr>
          <w:bottom w:val="single" w:color="2E75B6" w:sz="6" w:space="4"/>
        </w:pBdr>
        <w:spacing w:after="120" w:before="340"/>
      </w:pPr>
      <w:r>
        <w:rPr>
          <w:rFonts w:ascii="Arial" w:cs="Arial" w:eastAsia="Arial" w:hAnsi="Arial"/>
          <w:b/>
          <w:bCs/>
          <w:color w:val="1F3864"/>
          <w:sz w:val="28"/>
          <w:szCs w:val="28"/>
        </w:rPr>
        <w:t xml:space="preserve">1. Manifest Files — C'est quoi ?</w:t>
      </w:r>
    </w:p>
    <w:p>
      <w:pPr>
        <w:spacing w:after="70" w:before="60"/>
      </w:pPr>
      <w:r>
        <w:rPr>
          <w:rFonts w:ascii="Arial" w:cs="Arial" w:eastAsia="Arial" w:hAnsi="Arial"/>
          <w:sz w:val="21"/>
          <w:szCs w:val="21"/>
        </w:rPr>
        <w:t xml:space="preserve">Un manifest file est un fichier d'index qui liste les fichiers Parquet appartenant à une table Iceberg, en y ajoutant des statistiques utiles pour optimiser les requêtes.</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Ce qu'il contient concrètement</w:t>
      </w:r>
    </w:p>
    <w:p>
      <w:pPr>
        <w:pStyle w:val="ListParagraph"/>
        <w:numPr>
          <w:ilvl w:val="0"/>
          <w:numId w:val="2"/>
        </w:numPr>
        <w:spacing w:after="40" w:before="40"/>
      </w:pPr>
      <w:r>
        <w:rPr>
          <w:rFonts w:ascii="Arial" w:cs="Arial" w:eastAsia="Arial" w:hAnsi="Arial"/>
          <w:sz w:val="21"/>
          <w:szCs w:val="21"/>
        </w:rPr>
        <w:t xml:space="preserve">Le chemin de chaque fichier Parquet dans l'object storage</w:t>
      </w:r>
    </w:p>
    <w:p>
      <w:pPr>
        <w:pStyle w:val="ListParagraph"/>
        <w:numPr>
          <w:ilvl w:val="0"/>
          <w:numId w:val="2"/>
        </w:numPr>
        <w:spacing w:after="40" w:before="40"/>
      </w:pPr>
      <w:r>
        <w:rPr>
          <w:rFonts w:ascii="Arial" w:cs="Arial" w:eastAsia="Arial" w:hAnsi="Arial"/>
          <w:sz w:val="21"/>
          <w:szCs w:val="21"/>
        </w:rPr>
        <w:t xml:space="preserve">La valeur minimale et maximale de chaque colonne dans ce fichier</w:t>
      </w:r>
    </w:p>
    <w:p>
      <w:pPr>
        <w:pStyle w:val="ListParagraph"/>
        <w:numPr>
          <w:ilvl w:val="0"/>
          <w:numId w:val="2"/>
        </w:numPr>
        <w:spacing w:after="40" w:before="40"/>
      </w:pPr>
      <w:r>
        <w:rPr>
          <w:rFonts w:ascii="Arial" w:cs="Arial" w:eastAsia="Arial" w:hAnsi="Arial"/>
          <w:sz w:val="21"/>
          <w:szCs w:val="21"/>
        </w:rPr>
        <w:t xml:space="preserve">Le nombre de valeurs nulles par colonne</w:t>
      </w:r>
    </w:p>
    <w:p>
      <w:pPr>
        <w:pStyle w:val="ListParagraph"/>
        <w:numPr>
          <w:ilvl w:val="0"/>
          <w:numId w:val="2"/>
        </w:numPr>
        <w:spacing w:after="40" w:before="40"/>
      </w:pPr>
      <w:r>
        <w:rPr>
          <w:rFonts w:ascii="Arial" w:cs="Arial" w:eastAsia="Arial" w:hAnsi="Arial"/>
          <w:sz w:val="21"/>
          <w:szCs w:val="21"/>
        </w:rPr>
        <w:t xml:space="preserve">Le statut du fichier : actif (données valides) ou supprimé (marqué pour nettoyage)</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À quoi ça sert ?</w:t>
      </w:r>
    </w:p>
    <w:p>
      <w:pPr>
        <w:spacing w:after="70" w:before="60"/>
      </w:pPr>
      <w:r>
        <w:rPr>
          <w:rFonts w:ascii="Arial" w:cs="Arial" w:eastAsia="Arial" w:hAnsi="Arial"/>
          <w:sz w:val="21"/>
          <w:szCs w:val="21"/>
        </w:rPr>
        <w:t xml:space="preserve">Quand QlikSense ou Dataiku exécute une requête comme « donne-moi toutes les commandes du mois de janvier 2024 », le moteur de requête (Athena, Trino…) n'a pas besoin d'ouvrir tous les fichiers Parquet. Il lit d'abord les manifest files et vérifie : est-ce que la valeur min/max de la colonne « date » dans ce fichier couvre janvier 2024 ? Si non, le fichier est ignoré. Ce mécanisme s'appelle le data skipping ou partition pruning.</w:t>
      </w:r>
    </w:p>
    <w:p>
      <w:pPr>
        <w:spacing w:after="0" w:before="6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BF3FA" w:val="clear"/>
            <w:tcMar>
              <w:top w:type="dxa" w:w="110"/>
              <w:left w:type="dxa" w:w="220"/>
              <w:bottom w:type="dxa" w:w="110"/>
              <w:right w:type="dxa" w:w="220"/>
            </w:tcMar>
          </w:tcPr>
          <w:p>
            <w:pPr>
              <w:spacing w:after="30" w:before="30"/>
            </w:pPr>
            <w:r>
              <w:rPr>
                <w:rFonts w:ascii="Arial" w:cs="Arial" w:eastAsia="Arial" w:hAnsi="Arial"/>
                <w:i/>
                <w:iCs/>
                <w:sz w:val="21"/>
                <w:szCs w:val="21"/>
              </w:rPr>
              <w:t xml:space="preserve">Exemple concret :</w:t>
            </w:r>
          </w:p>
          <w:p>
            <w:pPr>
              <w:spacing w:after="30" w:before="30"/>
            </w:pPr>
            <w:r>
              <w:rPr>
                <w:rFonts w:ascii="Arial" w:cs="Arial" w:eastAsia="Arial" w:hAnsi="Arial"/>
                <w:i w:val="false"/>
                <w:iCs w:val="false"/>
                <w:sz w:val="21"/>
                <w:szCs w:val="21"/>
              </w:rPr>
              <w:t xml:space="preserve">→ Table de 500 fichiers Parquet représentant 3 ans de données.</w:t>
            </w:r>
          </w:p>
          <w:p>
            <w:pPr>
              <w:spacing w:after="30" w:before="30"/>
            </w:pPr>
            <w:r>
              <w:rPr>
                <w:rFonts w:ascii="Arial" w:cs="Arial" w:eastAsia="Arial" w:hAnsi="Arial"/>
                <w:i w:val="false"/>
                <w:iCs w:val="false"/>
                <w:sz w:val="21"/>
                <w:szCs w:val="21"/>
              </w:rPr>
              <w:t xml:space="preserve">→ Requête : WHERE date BETWEEN '2024-01-01' AND '2024-01-31'</w:t>
            </w:r>
          </w:p>
          <w:p>
            <w:pPr>
              <w:spacing w:after="30" w:before="30"/>
            </w:pPr>
            <w:r>
              <w:rPr>
                <w:rFonts w:ascii="Arial" w:cs="Arial" w:eastAsia="Arial" w:hAnsi="Arial"/>
                <w:i w:val="false"/>
                <w:iCs w:val="false"/>
                <w:sz w:val="21"/>
                <w:szCs w:val="21"/>
              </w:rPr>
              <w:t xml:space="preserve">→ Sans manifest : 500 fichiers ouverts et scannés.</w:t>
            </w:r>
          </w:p>
          <w:p>
            <w:pPr>
              <w:spacing w:after="30" w:before="30"/>
            </w:pPr>
            <w:r>
              <w:rPr>
                <w:rFonts w:ascii="Arial" w:cs="Arial" w:eastAsia="Arial" w:hAnsi="Arial"/>
                <w:i w:val="false"/>
                <w:iCs w:val="false"/>
                <w:sz w:val="21"/>
                <w:szCs w:val="21"/>
              </w:rPr>
              <w:t xml:space="preserve">→ Avec manifest : le moteur lit les stats, identifie 12 fichiers pertinents, n'ouvre que ceux-là.</w:t>
            </w:r>
          </w:p>
          <w:p>
            <w:pPr>
              <w:spacing w:after="30" w:before="30"/>
            </w:pPr>
            <w:r>
              <w:rPr>
                <w:rFonts w:ascii="Arial" w:cs="Arial" w:eastAsia="Arial" w:hAnsi="Arial"/>
                <w:i w:val="false"/>
                <w:iCs w:val="false"/>
                <w:sz w:val="21"/>
                <w:szCs w:val="21"/>
              </w:rPr>
              <w:t xml:space="preserve">→ Gain : temps de requête divisé par ~40, coût réduit dans les mêmes proportions.</w:t>
            </w:r>
          </w:p>
        </w:tc>
      </w:tr>
    </w:tbl>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Format technique</w:t>
      </w:r>
    </w:p>
    <w:p>
      <w:pPr>
        <w:spacing w:after="70" w:before="60"/>
      </w:pPr>
      <w:r>
        <w:rPr>
          <w:rFonts w:ascii="Arial" w:cs="Arial" w:eastAsia="Arial" w:hAnsi="Arial"/>
          <w:sz w:val="21"/>
          <w:szCs w:val="21"/>
        </w:rPr>
        <w:t xml:space="preserve">Les manifest files sont stockés au format Avro (un format sérialisé binaire compact, open source Apache). Ils se trouvent dans le dossier metadata/ de la table, aux côtés des snapshots.</w:t>
      </w:r>
    </w:p>
    <w:p>
      <w:pPr>
        <w:spacing w:after="0" w:before="80"/>
      </w:pPr>
      <w:r>
        <w:rPr>
          <w:rFonts w:ascii="Arial" w:cs="Arial" w:eastAsia="Arial" w:hAnsi="Arial"/>
          <w:sz w:val="21"/>
          <w:szCs w:val="21"/>
        </w:rPr>
        <w:t xml:space="preserve"/>
      </w:r>
    </w:p>
    <w:p>
      <w:pPr>
        <w:pBdr>
          <w:bottom w:val="single" w:color="2E75B6" w:sz="6" w:space="4"/>
        </w:pBdr>
        <w:spacing w:after="120" w:before="340"/>
      </w:pPr>
      <w:r>
        <w:rPr>
          <w:rFonts w:ascii="Arial" w:cs="Arial" w:eastAsia="Arial" w:hAnsi="Arial"/>
          <w:b/>
          <w:bCs/>
          <w:color w:val="1F3864"/>
          <w:sz w:val="28"/>
          <w:szCs w:val="28"/>
        </w:rPr>
        <w:t xml:space="preserve">2. Snapshots — C'est quoi ?</w:t>
      </w:r>
    </w:p>
    <w:p>
      <w:pPr>
        <w:spacing w:after="70" w:before="60"/>
      </w:pPr>
      <w:r>
        <w:rPr>
          <w:rFonts w:ascii="Arial" w:cs="Arial" w:eastAsia="Arial" w:hAnsi="Arial"/>
          <w:sz w:val="21"/>
          <w:szCs w:val="21"/>
        </w:rPr>
        <w:t xml:space="preserve">Un snapshot représente l'état complet et cohérent d'une table Iceberg à un instant T. Chaque fois qu'une écriture a lieu (insertion, mise à jour, suppression), Iceberg crée un nouveau snapshot sans écraser le précédent.</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Ce qu'un snapshot contient</w:t>
      </w:r>
    </w:p>
    <w:p>
      <w:pPr>
        <w:pStyle w:val="ListParagraph"/>
        <w:numPr>
          <w:ilvl w:val="0"/>
          <w:numId w:val="2"/>
        </w:numPr>
        <w:spacing w:after="40" w:before="40"/>
      </w:pPr>
      <w:r>
        <w:rPr>
          <w:rFonts w:ascii="Arial" w:cs="Arial" w:eastAsia="Arial" w:hAnsi="Arial"/>
          <w:sz w:val="21"/>
          <w:szCs w:val="21"/>
        </w:rPr>
        <w:t xml:space="preserve">Un identifiant unique (snapshot ID)</w:t>
      </w:r>
    </w:p>
    <w:p>
      <w:pPr>
        <w:pStyle w:val="ListParagraph"/>
        <w:numPr>
          <w:ilvl w:val="0"/>
          <w:numId w:val="2"/>
        </w:numPr>
        <w:spacing w:after="40" w:before="40"/>
      </w:pPr>
      <w:r>
        <w:rPr>
          <w:rFonts w:ascii="Arial" w:cs="Arial" w:eastAsia="Arial" w:hAnsi="Arial"/>
          <w:sz w:val="21"/>
          <w:szCs w:val="21"/>
        </w:rPr>
        <w:t xml:space="preserve">Un horodatage (timestamp de création)</w:t>
      </w:r>
    </w:p>
    <w:p>
      <w:pPr>
        <w:pStyle w:val="ListParagraph"/>
        <w:numPr>
          <w:ilvl w:val="0"/>
          <w:numId w:val="2"/>
        </w:numPr>
        <w:spacing w:after="40" w:before="40"/>
      </w:pPr>
      <w:r>
        <w:rPr>
          <w:rFonts w:ascii="Arial" w:cs="Arial" w:eastAsia="Arial" w:hAnsi="Arial"/>
          <w:sz w:val="21"/>
          <w:szCs w:val="21"/>
        </w:rPr>
        <w:t xml:space="preserve">La liste des manifest files qui décrivent les fichiers Parquet valides à cet instant</w:t>
      </w:r>
    </w:p>
    <w:p>
      <w:pPr>
        <w:pStyle w:val="ListParagraph"/>
        <w:numPr>
          <w:ilvl w:val="0"/>
          <w:numId w:val="2"/>
        </w:numPr>
        <w:spacing w:after="40" w:before="40"/>
      </w:pPr>
      <w:r>
        <w:rPr>
          <w:rFonts w:ascii="Arial" w:cs="Arial" w:eastAsia="Arial" w:hAnsi="Arial"/>
          <w:sz w:val="21"/>
          <w:szCs w:val="21"/>
        </w:rPr>
        <w:t xml:space="preserve">Un pointeur vers le snapshot parent (pour reconstituer l'historique)</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Pourquoi c'est important ?</w:t>
      </w:r>
    </w:p>
    <w:p>
      <w:pPr>
        <w:spacing w:after="70" w:before="60"/>
      </w:pPr>
      <w:r>
        <w:rPr>
          <w:rFonts w:ascii="Arial" w:cs="Arial" w:eastAsia="Arial" w:hAnsi="Arial"/>
          <w:sz w:val="21"/>
          <w:szCs w:val="21"/>
        </w:rPr>
        <w:t xml:space="preserve">Les snapshots sont le fondement de deux fonctionnalités majeures d'Iceberg :</w:t>
      </w:r>
    </w:p>
    <w:p>
      <w:pPr>
        <w:spacing w:after="0" w:before="50"/>
      </w:pPr>
      <w:r>
        <w:rPr>
          <w:rFonts w:ascii="Arial" w:cs="Arial" w:eastAsia="Arial" w:hAnsi="Arial"/>
          <w:sz w:val="21"/>
          <w:szCs w:val="21"/>
        </w:rPr>
        <w:t xml:space="preserve"/>
      </w:r>
    </w:p>
    <w:p>
      <w:pPr>
        <w:spacing w:after="70" w:before="60"/>
      </w:pPr>
      <w:r>
        <w:rPr>
          <w:rFonts w:ascii="Arial" w:cs="Arial" w:eastAsia="Arial" w:hAnsi="Arial"/>
          <w:b/>
          <w:bCs/>
          <w:sz w:val="21"/>
          <w:szCs w:val="21"/>
        </w:rPr>
        <w:t xml:space="preserve">Transactions ACID : </w:t>
      </w:r>
      <w:r>
        <w:rPr>
          <w:rFonts w:ascii="Arial" w:cs="Arial" w:eastAsia="Arial" w:hAnsi="Arial"/>
          <w:sz w:val="21"/>
          <w:szCs w:val="21"/>
        </w:rPr>
        <w:t xml:space="preserve">une lecture en cours ne sera jamais perturbée par une écriture simultanée, car chaque lecteur travaille sur un snapshot figé. Le nouveau snapshot n'est visible qu'une fois l'écriture entièrement terminée.</w:t>
      </w:r>
    </w:p>
    <w:p>
      <w:pPr>
        <w:spacing w:after="0" w:before="40"/>
      </w:pPr>
      <w:r>
        <w:rPr>
          <w:rFonts w:ascii="Arial" w:cs="Arial" w:eastAsia="Arial" w:hAnsi="Arial"/>
          <w:sz w:val="21"/>
          <w:szCs w:val="21"/>
        </w:rPr>
        <w:t xml:space="preserve"/>
      </w:r>
    </w:p>
    <w:p>
      <w:pPr>
        <w:spacing w:after="70" w:before="60"/>
      </w:pPr>
      <w:r>
        <w:rPr>
          <w:rFonts w:ascii="Arial" w:cs="Arial" w:eastAsia="Arial" w:hAnsi="Arial"/>
          <w:b/>
          <w:bCs/>
          <w:sz w:val="21"/>
          <w:szCs w:val="21"/>
        </w:rPr>
        <w:t xml:space="preserve">Time Travel : </w:t>
      </w:r>
      <w:r>
        <w:rPr>
          <w:rFonts w:ascii="Arial" w:cs="Arial" w:eastAsia="Arial" w:hAnsi="Arial"/>
          <w:sz w:val="21"/>
          <w:szCs w:val="21"/>
        </w:rPr>
        <w:t xml:space="preserve">puisque les anciens snapshots sont conservés, il est possible d'interroger la table telle qu'elle était à n'importe quelle date passée.</w:t>
      </w:r>
    </w:p>
    <w:p>
      <w:pPr>
        <w:spacing w:after="0" w:before="6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BF3FA" w:val="clear"/>
            <w:tcMar>
              <w:top w:type="dxa" w:w="110"/>
              <w:left w:type="dxa" w:w="220"/>
              <w:bottom w:type="dxa" w:w="110"/>
              <w:right w:type="dxa" w:w="220"/>
            </w:tcMar>
          </w:tcPr>
          <w:p>
            <w:pPr>
              <w:spacing w:after="30" w:before="30"/>
            </w:pPr>
            <w:r>
              <w:rPr>
                <w:rFonts w:ascii="Arial" w:cs="Arial" w:eastAsia="Arial" w:hAnsi="Arial"/>
                <w:i/>
                <w:iCs/>
                <w:sz w:val="21"/>
                <w:szCs w:val="21"/>
              </w:rPr>
              <w:t xml:space="preserve">Exemple Time Travel en SQL :</w:t>
            </w:r>
          </w:p>
          <w:p>
            <w:pPr>
              <w:spacing w:after="30" w:before="30"/>
            </w:pPr>
            <w:r>
              <w:rPr>
                <w:rFonts w:ascii="Arial" w:cs="Arial" w:eastAsia="Arial" w:hAnsi="Arial"/>
                <w:i w:val="false"/>
                <w:iCs w:val="false"/>
                <w:sz w:val="21"/>
                <w:szCs w:val="21"/>
              </w:rPr>
              <w:t xml:space="preserve">→ SELECT * FROM commandes FOR SYSTEM_TIME AS OF '2024-06-01 09:00:00'</w:t>
            </w:r>
          </w:p>
          <w:p>
            <w:pPr>
              <w:spacing w:after="30" w:before="30"/>
            </w:pPr>
            <w:r>
              <w:rPr>
                <w:rFonts w:ascii="Arial" w:cs="Arial" w:eastAsia="Arial" w:hAnsi="Arial"/>
                <w:i w:val="false"/>
                <w:iCs w:val="false"/>
                <w:sz w:val="21"/>
                <w:szCs w:val="21"/>
              </w:rPr>
              <w:t xml:space="preserve">→ Retourne exactement les données qui existaient à cette date et heure.</w:t>
            </w:r>
          </w:p>
          <w:p>
            <w:pPr>
              <w:spacing w:after="30" w:before="30"/>
            </w:pPr>
            <w:r>
              <w:rPr>
                <w:rFonts w:ascii="Arial" w:cs="Arial" w:eastAsia="Arial" w:hAnsi="Arial"/>
                <w:i w:val="false"/>
                <w:iCs w:val="false"/>
                <w:sz w:val="21"/>
                <w:szCs w:val="21"/>
              </w:rPr>
              <w:t xml:space="preserve">→ Cas d'usage : audit, correction d'erreur, comparaison avant/après un traitement.</w:t>
            </w:r>
          </w:p>
        </w:tc>
      </w:tr>
    </w:tbl>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Nettoyage des anciens snapshots</w:t>
      </w:r>
    </w:p>
    <w:p>
      <w:pPr>
        <w:spacing w:after="70" w:before="60"/>
      </w:pPr>
      <w:r>
        <w:rPr>
          <w:rFonts w:ascii="Arial" w:cs="Arial" w:eastAsia="Arial" w:hAnsi="Arial"/>
          <w:sz w:val="21"/>
          <w:szCs w:val="21"/>
        </w:rPr>
        <w:t xml:space="preserve">Les snapshots s'accumulent au fil du temps. Une procédure de nettoyage (expire_snapshots) permet de supprimer les plus anciens, tout en conservant les fichiers Parquet référencés par les snapshots encore actifs. Ce nettoyage est planifié et non destructif pour les données courantes.</w:t>
      </w:r>
    </w:p>
    <w:p>
      <w:pPr>
        <w:spacing w:after="0" w:before="80"/>
      </w:pPr>
      <w:r>
        <w:rPr>
          <w:rFonts w:ascii="Arial" w:cs="Arial" w:eastAsia="Arial" w:hAnsi="Arial"/>
          <w:sz w:val="21"/>
          <w:szCs w:val="21"/>
        </w:rPr>
        <w:t xml:space="preserve"/>
      </w:r>
    </w:p>
    <w:p>
      <w:pPr>
        <w:pBdr>
          <w:bottom w:val="single" w:color="2E75B6" w:sz="6" w:space="4"/>
        </w:pBdr>
        <w:spacing w:after="120" w:before="340"/>
      </w:pPr>
      <w:r>
        <w:rPr>
          <w:rFonts w:ascii="Arial" w:cs="Arial" w:eastAsia="Arial" w:hAnsi="Arial"/>
          <w:b/>
          <w:bCs/>
          <w:color w:val="1F3864"/>
          <w:sz w:val="28"/>
          <w:szCs w:val="28"/>
        </w:rPr>
        <w:t xml:space="preserve">3. Le Catalogue — C'est quoi ?</w:t>
      </w:r>
    </w:p>
    <w:p>
      <w:pPr>
        <w:spacing w:after="70" w:before="60"/>
      </w:pPr>
      <w:r>
        <w:rPr>
          <w:rFonts w:ascii="Arial" w:cs="Arial" w:eastAsia="Arial" w:hAnsi="Arial"/>
          <w:sz w:val="21"/>
          <w:szCs w:val="21"/>
        </w:rPr>
        <w:t xml:space="preserve">Un catalogue Iceberg est un registre central qui maintient la liste des tables Iceberg et, pour chacune, le chemin vers son fichier de métadonnées courant. C'est le point d'entrée : quand un moteur de requête veut lire une table, il consulte d'abord le catalogue pour savoir où elle se trouve.</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Analogie simple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F8E7" w:val="clear"/>
            <w:tcMar>
              <w:top w:type="dxa" w:w="110"/>
              <w:left w:type="dxa" w:w="220"/>
              <w:bottom w:type="dxa" w:w="110"/>
              <w:right w:type="dxa" w:w="220"/>
            </w:tcMar>
          </w:tcPr>
          <w:p>
            <w:r>
              <w:rPr>
                <w:rFonts w:ascii="Arial" w:cs="Arial" w:eastAsia="Arial" w:hAnsi="Arial"/>
                <w:i/>
                <w:iCs/>
                <w:sz w:val="21"/>
                <w:szCs w:val="21"/>
              </w:rPr>
              <w:t xml:space="preserve">Le catalogue est l'annuaire de votre architecture Data. Sans lui, un moteur de requête ne saurait pas qu'une table nommée « commandes » existe, ni où trouver ses métadonnées dans l'object storage.</w:t>
            </w:r>
          </w:p>
        </w:tc>
      </w:tr>
    </w:tbl>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Les options de catalogue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Catalogue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Open Source</w:t>
            </w:r>
          </w:p>
        </w:tc>
        <w:tc>
          <w:tcPr>
            <w:tcW w:type="dxa" w:w="5226"/>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Hive Metastore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 Oui</w:t>
            </w:r>
          </w:p>
        </w:tc>
        <w:tc>
          <w:tcPr>
            <w:tcW w:type="dxa" w:w="5226"/>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Le plus ancien et répandu. Utilisé par défaut avec Glue sur AWS. Fonctionne sur tous les Cloud Providers. Peut être auto-hébergé sur EKS.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AWS Glue Catalog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 AWS uniquement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Implémentation AWS du Hive Metastore. Simple à utiliser sur AWS, mais crée une dépendance au Cloud Provider. À remplacer lors de la migration.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Project Nessie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 Oui</w:t>
            </w:r>
          </w:p>
        </w:tc>
        <w:tc>
          <w:tcPr>
            <w:tcW w:type="dxa" w:w="5226"/>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Catalogue moderne, inspiré de Git : chaque modification de table peut être commitée, branchée, fusionnée. Portable sur tous les providers. Recommandé pour les nouvelles architectures.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REST Catalog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 Oui</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Standard ouvert défini par la spec Iceberg. N'importe quel service exposant cette API peut servir de catalogue. C'est l'interface la plus portable.</w:t>
            </w:r>
          </w:p>
        </w:tc>
      </w:tr>
    </w:tbl>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Pourquoi c'est une preuve d'irréversibilité ?</w:t>
      </w:r>
    </w:p>
    <w:p>
      <w:pPr>
        <w:spacing w:after="70" w:before="60"/>
      </w:pPr>
      <w:r>
        <w:rPr>
          <w:rFonts w:ascii="Arial" w:cs="Arial" w:eastAsia="Arial" w:hAnsi="Arial"/>
          <w:sz w:val="21"/>
          <w:szCs w:val="21"/>
        </w:rPr>
        <w:t xml:space="preserve">Le catalogue ne stocke pas les données — il pointe vers elles. Si vous changez de catalogue (par exemple, de Glue vers Nessie lors d'une migration), vous re-pointez simplement vers les mêmes fichiers Parquet/Iceberg dans l'object storage. Les données ne bougent pas, les traitements continuent, seul le registre change.</w:t>
      </w:r>
    </w:p>
    <w:p>
      <w:pPr>
        <w:spacing w:after="0" w:before="80"/>
      </w:pPr>
      <w:r>
        <w:rPr>
          <w:rFonts w:ascii="Arial" w:cs="Arial" w:eastAsia="Arial" w:hAnsi="Arial"/>
          <w:sz w:val="21"/>
          <w:szCs w:val="21"/>
        </w:rPr>
        <w:t xml:space="preserve"/>
      </w:r>
    </w:p>
    <w:p>
      <w:pPr>
        <w:pBdr>
          <w:bottom w:val="single" w:color="2E75B6" w:sz="6" w:space="4"/>
        </w:pBdr>
        <w:spacing w:after="120" w:before="340"/>
      </w:pPr>
      <w:r>
        <w:rPr>
          <w:rFonts w:ascii="Arial" w:cs="Arial" w:eastAsia="Arial" w:hAnsi="Arial"/>
          <w:b/>
          <w:bCs/>
          <w:color w:val="1F3864"/>
          <w:sz w:val="28"/>
          <w:szCs w:val="28"/>
        </w:rPr>
        <w:t xml:space="preserve">4. Trino — Comment ça fonctionne ?</w:t>
      </w:r>
    </w:p>
    <w:p>
      <w:pPr>
        <w:spacing w:after="70" w:before="60"/>
      </w:pPr>
      <w:r>
        <w:rPr>
          <w:rFonts w:ascii="Arial" w:cs="Arial" w:eastAsia="Arial" w:hAnsi="Arial"/>
          <w:sz w:val="21"/>
          <w:szCs w:val="21"/>
        </w:rPr>
        <w:t xml:space="preserve">Trino est un moteur de requête SQL distribué, 100% open source (Linux Foundation). Il est la version open source de ce sur quoi Athena est bâti : Amazon a construit Athena en s'appuyant sur PrestoDB/Trino. Trino ne stocke rien — il se connecte aux sources de données et exécute les requêtes de façon distribuée.</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Architecture de Trino</w:t>
      </w:r>
    </w:p>
    <w:p>
      <w:pPr>
        <w:pStyle w:val="ListParagraph"/>
        <w:numPr>
          <w:ilvl w:val="0"/>
          <w:numId w:val="2"/>
        </w:numPr>
        <w:spacing w:after="40" w:before="40"/>
      </w:pPr>
      <w:r>
        <w:rPr>
          <w:rFonts w:ascii="Arial" w:cs="Arial" w:eastAsia="Arial" w:hAnsi="Arial"/>
          <w:sz w:val="21"/>
          <w:szCs w:val="21"/>
        </w:rPr>
        <w:t xml:space="preserve">Un nœud coordinateur reçoit la requête SQL, la planifie et la découpe en tâches parallèles</w:t>
      </w:r>
    </w:p>
    <w:p>
      <w:pPr>
        <w:pStyle w:val="ListParagraph"/>
        <w:numPr>
          <w:ilvl w:val="0"/>
          <w:numId w:val="2"/>
        </w:numPr>
        <w:spacing w:after="40" w:before="40"/>
      </w:pPr>
      <w:r>
        <w:rPr>
          <w:rFonts w:ascii="Arial" w:cs="Arial" w:eastAsia="Arial" w:hAnsi="Arial"/>
          <w:sz w:val="21"/>
          <w:szCs w:val="21"/>
        </w:rPr>
        <w:t xml:space="preserve">Des nœuds workers exécutent ces tâches en parallèle, lisent les fichiers Parquet depuis l'object storage</w:t>
      </w:r>
    </w:p>
    <w:p>
      <w:pPr>
        <w:pStyle w:val="ListParagraph"/>
        <w:numPr>
          <w:ilvl w:val="0"/>
          <w:numId w:val="2"/>
        </w:numPr>
        <w:spacing w:after="40" w:before="40"/>
      </w:pPr>
      <w:r>
        <w:rPr>
          <w:rFonts w:ascii="Arial" w:cs="Arial" w:eastAsia="Arial" w:hAnsi="Arial"/>
          <w:sz w:val="21"/>
          <w:szCs w:val="21"/>
        </w:rPr>
        <w:t xml:space="preserve">Le résultat est agrégé et renvoyé au client (QlikSense, Dataiku, ligne de commande…)</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Interface : comment accède-t-on à Trino ?</w:t>
      </w:r>
    </w:p>
    <w:p>
      <w:pPr>
        <w:spacing w:after="70" w:before="60"/>
      </w:pPr>
      <w:r>
        <w:rPr>
          <w:rFonts w:ascii="Arial" w:cs="Arial" w:eastAsia="Arial" w:hAnsi="Arial"/>
          <w:sz w:val="21"/>
          <w:szCs w:val="21"/>
        </w:rPr>
        <w:t xml:space="preserve">Trino n'impose pas une interface unique — il expose plusieurs points d'accès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Interface</w:t>
            </w:r>
          </w:p>
        </w:tc>
        <w:tc>
          <w:tcPr>
            <w:tcW w:type="dxa" w:w="6626"/>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Interface Web (UI)</w:t>
            </w:r>
          </w:p>
        </w:tc>
        <w:tc>
          <w:tcPr>
            <w:tcW w:type="dxa" w:w="6626"/>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Trino embarque une interface web accessible via navigateur pour suivre les requêtes en cours, voir les plans d'exécution, monitorer les workers. Pas de saisie SQL ici.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CLI (ligne de commande)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Un client CLI officiel permet d'exécuter du SQL directement depuis un terminal. Utile pour les ingénieurs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JDBC / ODBC</w:t>
            </w:r>
          </w:p>
        </w:tc>
        <w:tc>
          <w:tcPr>
            <w:tcW w:type="dxa" w:w="6626"/>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Le principal mode d'intégration avec les outils métier (QlikSense, Tableau, Power BI, Dataiku). On configure l'URL de connexion une fois, et l'outil envoie ses requêtes SQL à Trino de façon transparente.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DBeaver / SQL Workbench</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Des outils graphiques SQL classiques peuvent se connecter à Trino via JDBC. L'utilisateur écrit et exécute ses requêtes dans une interface visuelle standard.</w:t>
            </w:r>
          </w:p>
        </w:tc>
      </w:tr>
    </w:tbl>
    <w:p>
      <w:pPr>
        <w:spacing w:after="0" w:before="6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2EFDA" w:val="clear"/>
            <w:tcMar>
              <w:top w:type="dxa" w:w="110"/>
              <w:left w:type="dxa" w:w="220"/>
              <w:bottom w:type="dxa" w:w="110"/>
              <w:right w:type="dxa" w:w="220"/>
            </w:tcMar>
          </w:tcPr>
          <w:p>
            <w:r>
              <w:rPr>
                <w:rFonts w:ascii="Arial" w:cs="Arial" w:eastAsia="Arial" w:hAnsi="Arial"/>
                <w:i/>
                <w:iCs/>
                <w:sz w:val="21"/>
                <w:szCs w:val="21"/>
              </w:rPr>
              <w:t xml:space="preserve">Pour QlikSense, la connexion à Trino est identique à la connexion Athena : même driver JDBC, même SQL ANSI. La migration se résume à changer l'URL de connexion dans les paramètres QlikSense.</w:t>
            </w:r>
          </w:p>
        </w:tc>
      </w:tr>
    </w:tbl>
    <w:p>
      <w:pPr>
        <w:spacing w:after="0" w:before="80"/>
      </w:pPr>
      <w:r>
        <w:rPr>
          <w:rFonts w:ascii="Arial" w:cs="Arial" w:eastAsia="Arial" w:hAnsi="Arial"/>
          <w:sz w:val="21"/>
          <w:szCs w:val="21"/>
        </w:rPr>
        <w:t xml:space="preserve"/>
      </w:r>
    </w:p>
    <w:p>
      <w:pPr>
        <w:pBdr>
          <w:bottom w:val="single" w:color="2E75B6" w:sz="6" w:space="4"/>
        </w:pBdr>
        <w:spacing w:after="120" w:before="340"/>
      </w:pPr>
      <w:r>
        <w:rPr>
          <w:rFonts w:ascii="Arial" w:cs="Arial" w:eastAsia="Arial" w:hAnsi="Arial"/>
          <w:b/>
          <w:bCs/>
          <w:color w:val="1F3864"/>
          <w:sz w:val="28"/>
          <w:szCs w:val="28"/>
        </w:rPr>
        <w:t xml:space="preserve">5. BigQuery Omni (GCP) — Comment ça fonctionne ?</w:t>
      </w:r>
    </w:p>
    <w:p>
      <w:pPr>
        <w:spacing w:after="70" w:before="60"/>
      </w:pPr>
      <w:r>
        <w:rPr>
          <w:rFonts w:ascii="Arial" w:cs="Arial" w:eastAsia="Arial" w:hAnsi="Arial"/>
          <w:sz w:val="21"/>
          <w:szCs w:val="21"/>
        </w:rPr>
        <w:t xml:space="preserve">BigQuery Omni est la version multi-cloud de Google BigQuery. Il permet d'exécuter des requêtes SQL sur des données stockées dans d'autres Cloud Providers (comme AWS S3 ou Azure Blob) sans déplacer ces données vers Google Cloud.</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Fonctionnement</w:t>
      </w:r>
    </w:p>
    <w:p>
      <w:pPr>
        <w:pStyle w:val="ListParagraph"/>
        <w:numPr>
          <w:ilvl w:val="0"/>
          <w:numId w:val="2"/>
        </w:numPr>
        <w:spacing w:after="40" w:before="40"/>
      </w:pPr>
      <w:r>
        <w:rPr>
          <w:rFonts w:ascii="Arial" w:cs="Arial" w:eastAsia="Arial" w:hAnsi="Arial"/>
          <w:sz w:val="21"/>
          <w:szCs w:val="21"/>
        </w:rPr>
        <w:t xml:space="preserve">Les données restent dans leur object storage d'origine (ex : S3 ou Azure Blob)</w:t>
      </w:r>
    </w:p>
    <w:p>
      <w:pPr>
        <w:pStyle w:val="ListParagraph"/>
        <w:numPr>
          <w:ilvl w:val="0"/>
          <w:numId w:val="2"/>
        </w:numPr>
        <w:spacing w:after="40" w:before="40"/>
      </w:pPr>
      <w:r>
        <w:rPr>
          <w:rFonts w:ascii="Arial" w:cs="Arial" w:eastAsia="Arial" w:hAnsi="Arial"/>
          <w:sz w:val="21"/>
          <w:szCs w:val="21"/>
        </w:rPr>
        <w:t xml:space="preserve">BigQuery Omni déploie un moteur de calcul Google dans la région cloud cible</w:t>
      </w:r>
    </w:p>
    <w:p>
      <w:pPr>
        <w:pStyle w:val="ListParagraph"/>
        <w:numPr>
          <w:ilvl w:val="0"/>
          <w:numId w:val="2"/>
        </w:numPr>
        <w:spacing w:after="40" w:before="40"/>
      </w:pPr>
      <w:r>
        <w:rPr>
          <w:rFonts w:ascii="Arial" w:cs="Arial" w:eastAsia="Arial" w:hAnsi="Arial"/>
          <w:sz w:val="21"/>
          <w:szCs w:val="21"/>
        </w:rPr>
        <w:t xml:space="preserve">Les requêtes sont exécutées localement, sans transfert de données vers GCP</w:t>
      </w:r>
    </w:p>
    <w:p>
      <w:pPr>
        <w:pStyle w:val="ListParagraph"/>
        <w:numPr>
          <w:ilvl w:val="0"/>
          <w:numId w:val="2"/>
        </w:numPr>
        <w:spacing w:after="40" w:before="40"/>
      </w:pPr>
      <w:r>
        <w:rPr>
          <w:rFonts w:ascii="Arial" w:cs="Arial" w:eastAsia="Arial" w:hAnsi="Arial"/>
          <w:sz w:val="21"/>
          <w:szCs w:val="21"/>
        </w:rPr>
        <w:t xml:space="preserve">Il supporte nativement les tables Iceberg en lecture et en écriture</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Interface</w:t>
      </w:r>
    </w:p>
    <w:p>
      <w:pPr>
        <w:pStyle w:val="ListParagraph"/>
        <w:numPr>
          <w:ilvl w:val="0"/>
          <w:numId w:val="2"/>
        </w:numPr>
        <w:spacing w:after="40" w:before="40"/>
      </w:pPr>
      <w:r>
        <w:rPr>
          <w:rFonts w:ascii="Arial" w:cs="Arial" w:eastAsia="Arial" w:hAnsi="Arial"/>
          <w:sz w:val="21"/>
          <w:szCs w:val="21"/>
        </w:rPr>
        <w:t xml:space="preserve">Google BigQuery Console : interface web graphique, accessible depuis le navigateur, avec éditeur SQL intégré, explorateur de tables, historique des requêtes</w:t>
      </w:r>
    </w:p>
    <w:p>
      <w:pPr>
        <w:pStyle w:val="ListParagraph"/>
        <w:numPr>
          <w:ilvl w:val="0"/>
          <w:numId w:val="2"/>
        </w:numPr>
        <w:spacing w:after="40" w:before="40"/>
      </w:pPr>
      <w:r>
        <w:rPr>
          <w:rFonts w:ascii="Arial" w:cs="Arial" w:eastAsia="Arial" w:hAnsi="Arial"/>
          <w:sz w:val="21"/>
          <w:szCs w:val="21"/>
        </w:rPr>
        <w:t xml:space="preserve">API REST et client Python/Java pour l'intégration dans des pipelines</w:t>
      </w:r>
    </w:p>
    <w:p>
      <w:pPr>
        <w:pStyle w:val="ListParagraph"/>
        <w:numPr>
          <w:ilvl w:val="0"/>
          <w:numId w:val="2"/>
        </w:numPr>
        <w:spacing w:after="40" w:before="40"/>
      </w:pPr>
      <w:r>
        <w:rPr>
          <w:rFonts w:ascii="Arial" w:cs="Arial" w:eastAsia="Arial" w:hAnsi="Arial"/>
          <w:sz w:val="21"/>
          <w:szCs w:val="21"/>
        </w:rPr>
        <w:t xml:space="preserve">Connecteur JDBC/ODBC pour QlikSense, Tableau, Dataiku</w:t>
      </w:r>
    </w:p>
    <w:p>
      <w:pPr>
        <w:pStyle w:val="ListParagraph"/>
        <w:numPr>
          <w:ilvl w:val="0"/>
          <w:numId w:val="2"/>
        </w:numPr>
        <w:spacing w:after="40" w:before="40"/>
      </w:pPr>
      <w:r>
        <w:rPr>
          <w:rFonts w:ascii="Arial" w:cs="Arial" w:eastAsia="Arial" w:hAnsi="Arial"/>
          <w:sz w:val="21"/>
          <w:szCs w:val="21"/>
        </w:rPr>
        <w:t xml:space="preserve">Google Looker Studio pour la visualisation directe sans requête manuelle</w:t>
      </w:r>
    </w:p>
    <w:p>
      <w:pPr>
        <w:spacing w:after="0" w:before="6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BF3FA" w:val="clear"/>
            <w:tcMar>
              <w:top w:type="dxa" w:w="110"/>
              <w:left w:type="dxa" w:w="220"/>
              <w:bottom w:type="dxa" w:w="110"/>
              <w:right w:type="dxa" w:w="220"/>
            </w:tcMar>
          </w:tcPr>
          <w:p>
            <w:r>
              <w:rPr>
                <w:rFonts w:ascii="Arial" w:cs="Arial" w:eastAsia="Arial" w:hAnsi="Arial"/>
                <w:i/>
                <w:iCs/>
                <w:sz w:val="21"/>
                <w:szCs w:val="21"/>
              </w:rPr>
              <w:t xml:space="preserve">Cas d'usage dans votre contexte : si la DSI décide de migrer vers GCP, BigQuery Omni peut requêter les tables Iceberg existantes dans S3 sans migration des données, puis progressivement les déplacer vers GCS.</w:t>
            </w:r>
          </w:p>
        </w:tc>
      </w:tr>
    </w:tbl>
    <w:p>
      <w:pPr>
        <w:spacing w:after="0" w:before="80"/>
      </w:pPr>
      <w:r>
        <w:rPr>
          <w:rFonts w:ascii="Arial" w:cs="Arial" w:eastAsia="Arial" w:hAnsi="Arial"/>
          <w:sz w:val="21"/>
          <w:szCs w:val="21"/>
        </w:rPr>
        <w:t xml:space="preserve"/>
      </w:r>
    </w:p>
    <w:p>
      <w:pPr>
        <w:pBdr>
          <w:bottom w:val="single" w:color="2E75B6" w:sz="6" w:space="4"/>
        </w:pBdr>
        <w:spacing w:after="120" w:before="340"/>
      </w:pPr>
      <w:r>
        <w:rPr>
          <w:rFonts w:ascii="Arial" w:cs="Arial" w:eastAsia="Arial" w:hAnsi="Arial"/>
          <w:b/>
          <w:bCs/>
          <w:color w:val="1F3864"/>
          <w:sz w:val="28"/>
          <w:szCs w:val="28"/>
        </w:rPr>
        <w:t xml:space="preserve">6. Azure Synapse Analytics — Comment ça fonctionne ?</w:t>
      </w:r>
    </w:p>
    <w:p>
      <w:pPr>
        <w:spacing w:after="70" w:before="60"/>
      </w:pPr>
      <w:r>
        <w:rPr>
          <w:rFonts w:ascii="Arial" w:cs="Arial" w:eastAsia="Arial" w:hAnsi="Arial"/>
          <w:sz w:val="21"/>
          <w:szCs w:val="21"/>
        </w:rPr>
        <w:t xml:space="preserve">Azure Synapse Analytics est la plateforme analytique unifiée de Microsoft. Elle combine un moteur SQL serverless, un moteur Spark, et des connecteurs vers les sources de données Azure et externes.</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Fonctionnement avec Iceberg</w:t>
      </w:r>
    </w:p>
    <w:p>
      <w:pPr>
        <w:pStyle w:val="ListParagraph"/>
        <w:numPr>
          <w:ilvl w:val="0"/>
          <w:numId w:val="2"/>
        </w:numPr>
        <w:spacing w:after="40" w:before="40"/>
      </w:pPr>
      <w:r>
        <w:rPr>
          <w:rFonts w:ascii="Arial" w:cs="Arial" w:eastAsia="Arial" w:hAnsi="Arial"/>
          <w:sz w:val="21"/>
          <w:szCs w:val="21"/>
        </w:rPr>
        <w:t xml:space="preserve">Synapse peut créer des External Tables pointant vers des fichiers Parquet/Iceberg dans Azure Data Lake Storage (ADLS)</w:t>
      </w:r>
    </w:p>
    <w:p>
      <w:pPr>
        <w:pStyle w:val="ListParagraph"/>
        <w:numPr>
          <w:ilvl w:val="0"/>
          <w:numId w:val="2"/>
        </w:numPr>
        <w:spacing w:after="40" w:before="40"/>
      </w:pPr>
      <w:r>
        <w:rPr>
          <w:rFonts w:ascii="Arial" w:cs="Arial" w:eastAsia="Arial" w:hAnsi="Arial"/>
          <w:sz w:val="21"/>
          <w:szCs w:val="21"/>
        </w:rPr>
        <w:t xml:space="preserve">Le moteur SQL serverless de Synapse exécute les requêtes sans serveur à provisionner</w:t>
      </w:r>
    </w:p>
    <w:p>
      <w:pPr>
        <w:pStyle w:val="ListParagraph"/>
        <w:numPr>
          <w:ilvl w:val="0"/>
          <w:numId w:val="2"/>
        </w:numPr>
        <w:spacing w:after="40" w:before="40"/>
      </w:pPr>
      <w:r>
        <w:rPr>
          <w:rFonts w:ascii="Arial" w:cs="Arial" w:eastAsia="Arial" w:hAnsi="Arial"/>
          <w:sz w:val="21"/>
          <w:szCs w:val="21"/>
        </w:rPr>
        <w:t xml:space="preserve">Il supporte les partitions et les statistiques Iceberg pour l'optimisation des requêtes</w:t>
      </w:r>
    </w:p>
    <w:p>
      <w:pPr>
        <w:pStyle w:val="ListParagraph"/>
        <w:numPr>
          <w:ilvl w:val="0"/>
          <w:numId w:val="2"/>
        </w:numPr>
        <w:spacing w:after="40" w:before="40"/>
      </w:pPr>
      <w:r>
        <w:rPr>
          <w:rFonts w:ascii="Arial" w:cs="Arial" w:eastAsia="Arial" w:hAnsi="Arial"/>
          <w:sz w:val="21"/>
          <w:szCs w:val="21"/>
        </w:rPr>
        <w:t xml:space="preserve">Le moteur Spark intégré supporte Iceberg nativement pour les transformations complexes</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Interface</w:t>
      </w:r>
    </w:p>
    <w:p>
      <w:pPr>
        <w:pStyle w:val="ListParagraph"/>
        <w:numPr>
          <w:ilvl w:val="0"/>
          <w:numId w:val="2"/>
        </w:numPr>
        <w:spacing w:after="40" w:before="40"/>
      </w:pPr>
      <w:r>
        <w:rPr>
          <w:rFonts w:ascii="Arial" w:cs="Arial" w:eastAsia="Arial" w:hAnsi="Arial"/>
          <w:sz w:val="21"/>
          <w:szCs w:val="21"/>
        </w:rPr>
        <w:t xml:space="preserve">Synapse Studio : interface web graphique complète avec éditeur SQL, notebooks Spark, explorateur de données, pipelines visuels — accessible depuis le navigateur</w:t>
      </w:r>
    </w:p>
    <w:p>
      <w:pPr>
        <w:pStyle w:val="ListParagraph"/>
        <w:numPr>
          <w:ilvl w:val="0"/>
          <w:numId w:val="2"/>
        </w:numPr>
        <w:spacing w:after="40" w:before="40"/>
      </w:pPr>
      <w:r>
        <w:rPr>
          <w:rFonts w:ascii="Arial" w:cs="Arial" w:eastAsia="Arial" w:hAnsi="Arial"/>
          <w:sz w:val="21"/>
          <w:szCs w:val="21"/>
        </w:rPr>
        <w:t xml:space="preserve">Connecteur JDBC/ODBC pour QlikSense, Power BI, Tableau</w:t>
      </w:r>
    </w:p>
    <w:p>
      <w:pPr>
        <w:pStyle w:val="ListParagraph"/>
        <w:numPr>
          <w:ilvl w:val="0"/>
          <w:numId w:val="2"/>
        </w:numPr>
        <w:spacing w:after="40" w:before="40"/>
      </w:pPr>
      <w:r>
        <w:rPr>
          <w:rFonts w:ascii="Arial" w:cs="Arial" w:eastAsia="Arial" w:hAnsi="Arial"/>
          <w:sz w:val="21"/>
          <w:szCs w:val="21"/>
        </w:rPr>
        <w:t xml:space="preserve">Intégration native avec Power BI pour la visualisation</w:t>
      </w:r>
    </w:p>
    <w:p>
      <w:pPr>
        <w:pStyle w:val="ListParagraph"/>
        <w:numPr>
          <w:ilvl w:val="0"/>
          <w:numId w:val="2"/>
        </w:numPr>
        <w:spacing w:after="40" w:before="40"/>
      </w:pPr>
      <w:r>
        <w:rPr>
          <w:rFonts w:ascii="Arial" w:cs="Arial" w:eastAsia="Arial" w:hAnsi="Arial"/>
          <w:sz w:val="21"/>
          <w:szCs w:val="21"/>
        </w:rPr>
        <w:t xml:space="preserve">Azure Data Factory pour l'orchestration des pipelines</w:t>
      </w:r>
    </w:p>
    <w:p>
      <w:pPr>
        <w:spacing w:after="0" w:before="6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BF3FA" w:val="clear"/>
            <w:tcMar>
              <w:top w:type="dxa" w:w="110"/>
              <w:left w:type="dxa" w:w="220"/>
              <w:bottom w:type="dxa" w:w="110"/>
              <w:right w:type="dxa" w:w="220"/>
            </w:tcMar>
          </w:tcPr>
          <w:p>
            <w:r>
              <w:rPr>
                <w:rFonts w:ascii="Arial" w:cs="Arial" w:eastAsia="Arial" w:hAnsi="Arial"/>
                <w:i/>
                <w:iCs/>
                <w:sz w:val="21"/>
                <w:szCs w:val="21"/>
              </w:rPr>
              <w:t xml:space="preserve">Cas d'usage : si la DSI migre vers Azure, Synapse joue le rôle d'Athena et de Glue à la fois. QlikSense se connecte via le même connecteur JDBC sans changement SQL.</w:t>
            </w:r>
          </w:p>
        </w:tc>
      </w:tr>
    </w:tbl>
    <w:p>
      <w:pPr>
        <w:spacing w:after="0" w:before="80"/>
      </w:pPr>
      <w:r>
        <w:rPr>
          <w:rFonts w:ascii="Arial" w:cs="Arial" w:eastAsia="Arial" w:hAnsi="Arial"/>
          <w:sz w:val="21"/>
          <w:szCs w:val="21"/>
        </w:rPr>
        <w:t xml:space="preserve"/>
      </w:r>
    </w:p>
    <w:p>
      <w:pPr>
        <w:pBdr>
          <w:bottom w:val="single" w:color="2E75B6" w:sz="6" w:space="4"/>
        </w:pBdr>
        <w:spacing w:after="120" w:before="340"/>
      </w:pPr>
      <w:r>
        <w:rPr>
          <w:rFonts w:ascii="Arial" w:cs="Arial" w:eastAsia="Arial" w:hAnsi="Arial"/>
          <w:b/>
          <w:bCs/>
          <w:color w:val="1F3864"/>
          <w:sz w:val="28"/>
          <w:szCs w:val="28"/>
        </w:rPr>
        <w:t xml:space="preserve">7. DuckDB — Comment ça fonctionne ?</w:t>
      </w:r>
    </w:p>
    <w:p>
      <w:pPr>
        <w:spacing w:after="70" w:before="60"/>
      </w:pPr>
      <w:r>
        <w:rPr>
          <w:rFonts w:ascii="Arial" w:cs="Arial" w:eastAsia="Arial" w:hAnsi="Arial"/>
          <w:sz w:val="21"/>
          <w:szCs w:val="21"/>
        </w:rPr>
        <w:t xml:space="preserve">DuckDB est un moteur SQL analytique embarqué, 100% open source. Contrairement à Trino ou Athena qui sont distribués, DuckDB s'exécute dans un seul processus, sans serveur à déployer. Il est souvent comparé à SQLite, mais orienté OLAP (analytique) plutôt qu'OLTP.</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Fonctionnement</w:t>
      </w:r>
    </w:p>
    <w:p>
      <w:pPr>
        <w:pStyle w:val="ListParagraph"/>
        <w:numPr>
          <w:ilvl w:val="0"/>
          <w:numId w:val="2"/>
        </w:numPr>
        <w:spacing w:after="40" w:before="40"/>
      </w:pPr>
      <w:r>
        <w:rPr>
          <w:rFonts w:ascii="Arial" w:cs="Arial" w:eastAsia="Arial" w:hAnsi="Arial"/>
          <w:sz w:val="21"/>
          <w:szCs w:val="21"/>
        </w:rPr>
        <w:t xml:space="preserve">DuckDB s'installe en une commande, sans configuration serveur</w:t>
      </w:r>
    </w:p>
    <w:p>
      <w:pPr>
        <w:pStyle w:val="ListParagraph"/>
        <w:numPr>
          <w:ilvl w:val="0"/>
          <w:numId w:val="2"/>
        </w:numPr>
        <w:spacing w:after="40" w:before="40"/>
      </w:pPr>
      <w:r>
        <w:rPr>
          <w:rFonts w:ascii="Arial" w:cs="Arial" w:eastAsia="Arial" w:hAnsi="Arial"/>
          <w:sz w:val="21"/>
          <w:szCs w:val="21"/>
        </w:rPr>
        <w:t xml:space="preserve">Il lit directement les fichiers Parquet depuis S3 ou un système de fichiers local</w:t>
      </w:r>
    </w:p>
    <w:p>
      <w:pPr>
        <w:pStyle w:val="ListParagraph"/>
        <w:numPr>
          <w:ilvl w:val="0"/>
          <w:numId w:val="2"/>
        </w:numPr>
        <w:spacing w:after="40" w:before="40"/>
      </w:pPr>
      <w:r>
        <w:rPr>
          <w:rFonts w:ascii="Arial" w:cs="Arial" w:eastAsia="Arial" w:hAnsi="Arial"/>
          <w:sz w:val="21"/>
          <w:szCs w:val="21"/>
        </w:rPr>
        <w:t xml:space="preserve">Il supporte Iceberg via une extension officielle : chargée en une ligne, elle permet de lire les tables Iceberg comme des tables SQL classiques</w:t>
      </w:r>
    </w:p>
    <w:p>
      <w:pPr>
        <w:pStyle w:val="ListParagraph"/>
        <w:numPr>
          <w:ilvl w:val="0"/>
          <w:numId w:val="2"/>
        </w:numPr>
        <w:spacing w:after="40" w:before="40"/>
      </w:pPr>
      <w:r>
        <w:rPr>
          <w:rFonts w:ascii="Arial" w:cs="Arial" w:eastAsia="Arial" w:hAnsi="Arial"/>
          <w:sz w:val="21"/>
          <w:szCs w:val="21"/>
        </w:rPr>
        <w:t xml:space="preserve">Il est extrêmement rapide sur des volumes de quelques dizaines de Go grâce à son moteur vectorisé</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Interface</w:t>
      </w:r>
    </w:p>
    <w:p>
      <w:pPr>
        <w:pStyle w:val="ListParagraph"/>
        <w:numPr>
          <w:ilvl w:val="0"/>
          <w:numId w:val="2"/>
        </w:numPr>
        <w:spacing w:after="40" w:before="40"/>
      </w:pPr>
      <w:r>
        <w:rPr>
          <w:rFonts w:ascii="Arial" w:cs="Arial" w:eastAsia="Arial" w:hAnsi="Arial"/>
          <w:sz w:val="21"/>
          <w:szCs w:val="21"/>
        </w:rPr>
        <w:t xml:space="preserve">CLI (ligne de commande) : l'interface principale, similaire à psql pour PostgreSQL</w:t>
      </w:r>
    </w:p>
    <w:p>
      <w:pPr>
        <w:pStyle w:val="ListParagraph"/>
        <w:numPr>
          <w:ilvl w:val="0"/>
          <w:numId w:val="2"/>
        </w:numPr>
        <w:spacing w:after="40" w:before="40"/>
      </w:pPr>
      <w:r>
        <w:rPr>
          <w:rFonts w:ascii="Arial" w:cs="Arial" w:eastAsia="Arial" w:hAnsi="Arial"/>
          <w:sz w:val="21"/>
          <w:szCs w:val="21"/>
        </w:rPr>
        <w:t xml:space="preserve">Interface Python, R, Java : DuckDB s'intègre directement dans les notebooks Jupyter ou scripts — très utilisé par les Data Scientists</w:t>
      </w:r>
    </w:p>
    <w:p>
      <w:pPr>
        <w:pStyle w:val="ListParagraph"/>
        <w:numPr>
          <w:ilvl w:val="0"/>
          <w:numId w:val="2"/>
        </w:numPr>
        <w:spacing w:after="40" w:before="40"/>
      </w:pPr>
      <w:r>
        <w:rPr>
          <w:rFonts w:ascii="Arial" w:cs="Arial" w:eastAsia="Arial" w:hAnsi="Arial"/>
          <w:sz w:val="21"/>
          <w:szCs w:val="21"/>
        </w:rPr>
        <w:t xml:space="preserve">DBeaver : outil graphique SQL qui se connecte à DuckDB via JDBC</w:t>
      </w:r>
    </w:p>
    <w:p>
      <w:pPr>
        <w:pStyle w:val="ListParagraph"/>
        <w:numPr>
          <w:ilvl w:val="0"/>
          <w:numId w:val="2"/>
        </w:numPr>
        <w:spacing w:after="40" w:before="40"/>
      </w:pPr>
      <w:r>
        <w:rPr>
          <w:rFonts w:ascii="Arial" w:cs="Arial" w:eastAsia="Arial" w:hAnsi="Arial"/>
          <w:sz w:val="21"/>
          <w:szCs w:val="21"/>
        </w:rPr>
        <w:t xml:space="preserve">Pas d'interface web native embarquée — il faut passer par un outil tiers pour une UI graphique</w:t>
      </w:r>
    </w:p>
    <w:p>
      <w:pPr>
        <w:spacing w:after="0" w:before="8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Limites</w:t>
      </w:r>
    </w:p>
    <w:p>
      <w:pPr>
        <w:pStyle w:val="ListParagraph"/>
        <w:numPr>
          <w:ilvl w:val="0"/>
          <w:numId w:val="2"/>
        </w:numPr>
        <w:spacing w:after="40" w:before="40"/>
      </w:pPr>
      <w:r>
        <w:rPr>
          <w:rFonts w:ascii="Arial" w:cs="Arial" w:eastAsia="Arial" w:hAnsi="Arial"/>
          <w:sz w:val="21"/>
          <w:szCs w:val="21"/>
        </w:rPr>
        <w:t xml:space="preserve">Non distribué : limité à la puissance d'une seule machine. Au-delà de quelques centaines de Go, Trino ou Spark sont préférables</w:t>
      </w:r>
    </w:p>
    <w:p>
      <w:pPr>
        <w:pStyle w:val="ListParagraph"/>
        <w:numPr>
          <w:ilvl w:val="0"/>
          <w:numId w:val="2"/>
        </w:numPr>
        <w:spacing w:after="40" w:before="40"/>
      </w:pPr>
      <w:r>
        <w:rPr>
          <w:rFonts w:ascii="Arial" w:cs="Arial" w:eastAsia="Arial" w:hAnsi="Arial"/>
          <w:sz w:val="21"/>
          <w:szCs w:val="21"/>
        </w:rPr>
        <w:t xml:space="preserve">Pas adapté aux écritures concurrentes massives</w:t>
      </w:r>
    </w:p>
    <w:p>
      <w:pPr>
        <w:spacing w:after="0" w:before="6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F8E7" w:val="clear"/>
            <w:tcMar>
              <w:top w:type="dxa" w:w="110"/>
              <w:left w:type="dxa" w:w="220"/>
              <w:bottom w:type="dxa" w:w="110"/>
              <w:right w:type="dxa" w:w="220"/>
            </w:tcMar>
          </w:tcPr>
          <w:p>
            <w:r>
              <w:rPr>
                <w:rFonts w:ascii="Arial" w:cs="Arial" w:eastAsia="Arial" w:hAnsi="Arial"/>
                <w:i/>
                <w:iCs/>
                <w:sz w:val="21"/>
                <w:szCs w:val="21"/>
              </w:rPr>
              <w:t xml:space="preserve">Cas d'usage dans votre contexte : DuckDB est idéal pour un ingénieur Data qui veut explorer rapidement une table Iceberg depuis son poste, sans passer par Athena ou déployer un cluster. Ce n'est pas un remplaçant d'Athena pour la production.</w:t>
            </w:r>
          </w:p>
        </w:tc>
      </w:tr>
    </w:tbl>
    <w:p>
      <w:pPr>
        <w:spacing w:after="0" w:before="80"/>
      </w:pPr>
      <w:r>
        <w:rPr>
          <w:rFonts w:ascii="Arial" w:cs="Arial" w:eastAsia="Arial" w:hAnsi="Arial"/>
          <w:sz w:val="21"/>
          <w:szCs w:val="21"/>
        </w:rPr>
        <w:t xml:space="preserve"/>
      </w:r>
    </w:p>
    <w:p>
      <w:pPr>
        <w:pBdr>
          <w:bottom w:val="single" w:color="2E75B6" w:sz="6" w:space="4"/>
        </w:pBdr>
        <w:spacing w:after="120" w:before="340"/>
      </w:pPr>
      <w:r>
        <w:rPr>
          <w:rFonts w:ascii="Arial" w:cs="Arial" w:eastAsia="Arial" w:hAnsi="Arial"/>
          <w:b/>
          <w:bCs/>
          <w:color w:val="1F3864"/>
          <w:sz w:val="28"/>
          <w:szCs w:val="28"/>
        </w:rPr>
        <w:t xml:space="preserve">8. Dataiku et QlikSense avec Iceberg</w:t>
      </w:r>
    </w:p>
    <w:p>
      <w:pPr>
        <w:spacing w:after="0" w:before="4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Dataiku — Lecture directe des fichiers Iceberg</w:t>
      </w:r>
    </w:p>
    <w:p>
      <w:pPr>
        <w:spacing w:after="70" w:before="60"/>
      </w:pPr>
      <w:r>
        <w:rPr>
          <w:rFonts w:ascii="Arial" w:cs="Arial" w:eastAsia="Arial" w:hAnsi="Arial"/>
          <w:sz w:val="21"/>
          <w:szCs w:val="21"/>
        </w:rPr>
        <w:t xml:space="preserve">Dataiku peut lire nativement les fichiers Parquet générés par une architecture Iceberg, directement depuis S3, sans passer par Athena ou tout autre moteur intermédiaire. Depuis DSS 12, Dataiku intègre également le support Iceberg via son moteur Spark embarqué, ce qui lui donne accès aux fonctionnalités avancées comme le Time Travel ou la lecture transactionnelle.</w:t>
      </w:r>
    </w:p>
    <w:p>
      <w:pPr>
        <w:spacing w:after="0" w:before="6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2EFDA" w:val="clear"/>
            <w:tcMar>
              <w:top w:type="dxa" w:w="110"/>
              <w:left w:type="dxa" w:w="220"/>
              <w:bottom w:type="dxa" w:w="110"/>
              <w:right w:type="dxa" w:w="220"/>
            </w:tcMar>
          </w:tcPr>
          <w:p>
            <w:r>
              <w:rPr>
                <w:rFonts w:ascii="Arial" w:cs="Arial" w:eastAsia="Arial" w:hAnsi="Arial"/>
                <w:i/>
                <w:iCs/>
                <w:sz w:val="21"/>
                <w:szCs w:val="21"/>
              </w:rPr>
              <w:t xml:space="preserve">En pratique, pour les équipes Dataiku : rien ne change. Les datasets existants continuent de pointer vers les mêmes fichiers Parquet dans S3. Si Glue est remplacé par EKS/Spark, les pipelines Dataiku fonctionnent sans modification.</w:t>
            </w:r>
          </w:p>
        </w:tc>
      </w:tr>
    </w:tbl>
    <w:p>
      <w:pPr>
        <w:spacing w:after="0" w:before="100"/>
      </w:pPr>
      <w:r>
        <w:rPr>
          <w:rFonts w:ascii="Arial" w:cs="Arial" w:eastAsia="Arial" w:hAnsi="Arial"/>
          <w:sz w:val="21"/>
          <w:szCs w:val="21"/>
        </w:rPr>
        <w:t xml:space="preserve"/>
      </w:r>
    </w:p>
    <w:p>
      <w:pPr>
        <w:spacing w:after="80" w:before="220"/>
      </w:pPr>
      <w:r>
        <w:rPr>
          <w:rFonts w:ascii="Arial" w:cs="Arial" w:eastAsia="Arial" w:hAnsi="Arial"/>
          <w:b/>
          <w:bCs/>
          <w:color w:val="2E75B6"/>
          <w:sz w:val="23"/>
          <w:szCs w:val="23"/>
        </w:rPr>
        <w:t xml:space="preserve">QlikSense — Connexion via Athena aujourd'hui, interchangeable demain</w:t>
      </w:r>
    </w:p>
    <w:p>
      <w:pPr>
        <w:spacing w:after="70" w:before="60"/>
      </w:pPr>
      <w:r>
        <w:rPr>
          <w:rFonts w:ascii="Arial" w:cs="Arial" w:eastAsia="Arial" w:hAnsi="Arial"/>
          <w:sz w:val="21"/>
          <w:szCs w:val="21"/>
        </w:rPr>
        <w:t xml:space="preserve">QlikSense se connecte aujourd'hui à Athena via un driver JDBC standard pour requêter les tables Iceberg dans S3. Athena joue ici le rôle de moteur de requête : il reçoit le SQL de QlikSense, lit les fichiers Parquet dans S3, et renvoie les résultats. Les données elles-mêmes ne transitent pas par Athena — elles restent dans S3.</w:t>
      </w:r>
    </w:p>
    <w:p>
      <w:pPr>
        <w:spacing w:after="0" w:before="60"/>
      </w:pPr>
      <w:r>
        <w:rPr>
          <w:rFonts w:ascii="Arial" w:cs="Arial" w:eastAsia="Arial" w:hAnsi="Arial"/>
          <w:sz w:val="21"/>
          <w:szCs w:val="21"/>
        </w:rPr>
        <w:t xml:space="preserve"/>
      </w:r>
    </w:p>
    <w:p>
      <w:pPr>
        <w:spacing w:after="70" w:before="60"/>
      </w:pPr>
      <w:r>
        <w:rPr>
          <w:rFonts w:ascii="Arial" w:cs="Arial" w:eastAsia="Arial" w:hAnsi="Arial"/>
          <w:sz w:val="21"/>
          <w:szCs w:val="21"/>
        </w:rPr>
        <w:t xml:space="preserve">Si la DSI décide de sortir d'AWS, QlikSense peut se connecter à un moteur alternatif sans aucune modification des tableaux de bord ni des requêtes SQL. Voici les options :</w:t>
      </w:r>
    </w:p>
    <w:p>
      <w:pPr>
        <w:spacing w:after="0" w:before="6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Moteur alternatif</w:t>
            </w:r>
          </w:p>
        </w:tc>
        <w:tc>
          <w:tcPr>
            <w:tcW w:type="dxa" w:w="2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Cloud cible</w:t>
            </w:r>
          </w:p>
        </w:tc>
        <w:tc>
          <w:tcPr>
            <w:tcW w:type="dxa" w:w="4826"/>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Ce qui change côté QlikSense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Trino (open 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Tout provider / EKS</w:t>
            </w:r>
          </w:p>
        </w:tc>
        <w:tc>
          <w:tcPr>
            <w:tcW w:type="dxa" w:w="4826"/>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URL de connexion JDBC uniquement — SQL identique à Athena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BigQuery Omni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GCP</w:t>
            </w:r>
          </w:p>
        </w:tc>
        <w:tc>
          <w:tcPr>
            <w:tcW w:type="dxa" w:w="4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Driver JDBC BigQuery — SQL ANSI standard, compatible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Azure Synapse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Azure</w:t>
            </w:r>
          </w:p>
        </w:tc>
        <w:tc>
          <w:tcPr>
            <w:tcW w:type="dxa" w:w="4826"/>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19"/>
                <w:szCs w:val="19"/>
              </w:rPr>
              <w:t xml:space="preserve">Driver JDBC Synapse — SQL ANSI standard, compatible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Apache Spark 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Tout provider / EKS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Connexion via Thrift Server JDBC — SQL identique</w:t>
            </w:r>
          </w:p>
        </w:tc>
      </w:tr>
    </w:tbl>
    <w:p>
      <w:pPr>
        <w:spacing w:after="0" w:before="6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2EFDA" w:val="clear"/>
            <w:tcMar>
              <w:top w:type="dxa" w:w="110"/>
              <w:left w:type="dxa" w:w="220"/>
              <w:bottom w:type="dxa" w:w="110"/>
              <w:right w:type="dxa" w:w="220"/>
            </w:tcMar>
          </w:tcPr>
          <w:p>
            <w:pPr>
              <w:spacing w:after="30" w:before="30"/>
            </w:pPr>
            <w:r>
              <w:rPr>
                <w:rFonts w:ascii="Arial" w:cs="Arial" w:eastAsia="Arial" w:hAnsi="Arial"/>
                <w:i/>
                <w:iCs/>
                <w:sz w:val="21"/>
                <w:szCs w:val="21"/>
              </w:rPr>
              <w:t xml:space="preserve">Point clé pour l'architecte :</w:t>
            </w:r>
          </w:p>
          <w:p>
            <w:pPr>
              <w:spacing w:after="30" w:before="30"/>
            </w:pPr>
            <w:r>
              <w:rPr>
                <w:rFonts w:ascii="Arial" w:cs="Arial" w:eastAsia="Arial" w:hAnsi="Arial"/>
                <w:i w:val="false"/>
                <w:iCs w:val="false"/>
                <w:sz w:val="21"/>
                <w:szCs w:val="21"/>
              </w:rPr>
              <w:t xml:space="preserve">→ Les tableaux de bord QlikSense, les rapports et les requêtes SQL ne changent pas.</w:t>
            </w:r>
          </w:p>
          <w:p>
            <w:pPr>
              <w:spacing w:after="30" w:before="30"/>
            </w:pPr>
            <w:r>
              <w:rPr>
                <w:rFonts w:ascii="Arial" w:cs="Arial" w:eastAsia="Arial" w:hAnsi="Arial"/>
                <w:i w:val="false"/>
                <w:iCs w:val="false"/>
                <w:sz w:val="21"/>
                <w:szCs w:val="21"/>
              </w:rPr>
              <w:t xml:space="preserve">→ Les données Iceberg dans S3 ne bougent pas.</w:t>
            </w:r>
          </w:p>
          <w:p>
            <w:pPr>
              <w:spacing w:after="30" w:before="30"/>
            </w:pPr>
            <w:r>
              <w:rPr>
                <w:rFonts w:ascii="Arial" w:cs="Arial" w:eastAsia="Arial" w:hAnsi="Arial"/>
                <w:i w:val="false"/>
                <w:iCs w:val="false"/>
                <w:sz w:val="21"/>
                <w:szCs w:val="21"/>
              </w:rPr>
              <w:t xml:space="preserve">→ Seule la configuration de la source de données dans QlikSense est modifiée (URL + driver).</w:t>
            </w:r>
          </w:p>
          <w:p>
            <w:pPr>
              <w:spacing w:after="30" w:before="30"/>
            </w:pPr>
            <w:r>
              <w:rPr>
                <w:rFonts w:ascii="Arial" w:cs="Arial" w:eastAsia="Arial" w:hAnsi="Arial"/>
                <w:i w:val="false"/>
                <w:iCs w:val="false"/>
                <w:sz w:val="21"/>
                <w:szCs w:val="21"/>
              </w:rPr>
              <w:t xml:space="preserve">→ Une migration d'Athena vers Trino peut se faire en moins d'une journée pour QlikSense.</w:t>
            </w:r>
          </w:p>
        </w:tc>
      </w:tr>
    </w:tbl>
    <w:p>
      <w:pPr>
        <w:spacing w:after="0" w:before="80"/>
      </w:pPr>
      <w:r>
        <w:rPr>
          <w:rFonts w:ascii="Arial" w:cs="Arial" w:eastAsia="Arial" w:hAnsi="Arial"/>
          <w:sz w:val="21"/>
          <w:szCs w:val="21"/>
        </w:rPr>
        <w:t xml:space="preserve"/>
      </w:r>
    </w:p>
    <w:p>
      <w:pPr>
        <w:pBdr>
          <w:top w:val="single" w:color="2E75B6" w:sz="6" w:space="4"/>
        </w:pBdr>
        <w:spacing w:after="60" w:before="200"/>
      </w:pPr>
      <w:r>
        <w:rPr>
          <w:rFonts w:ascii="Arial" w:cs="Arial" w:eastAsia="Arial" w:hAnsi="Arial"/>
          <w:i/>
          <w:iCs/>
          <w:color w:val="888888"/>
          <w:sz w:val="21"/>
          <w:szCs w:val="21"/>
        </w:rPr>
        <w:t xml:space="preserve">Cette annexe est un complément à la note technique Apache Iceberg — Périmètre Data / DSI.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2026-06-24T08:54:15.399Z</dcterms:created>
  <dcterms:modified xsi:type="dcterms:W3CDTF">2026-06-24T08:54:15.413Z</dcterms:modified>
</cp:coreProperties>
</file>

<file path=docProps/custom.xml><?xml version="1.0" encoding="utf-8"?>
<Properties xmlns="http://schemas.openxmlformats.org/officeDocument/2006/custom-properties" xmlns:vt="http://schemas.openxmlformats.org/officeDocument/2006/docPropsVTypes"/>
</file>