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443219" cy="1615569"/>
            <wp:effectExtent b="0" l="0" r="0" t="0"/>
            <wp:docPr id="188642989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43219" cy="161556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RAPPORT DE SUIVI DES ÉPARGNES DES GROUPES G50</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tab/>
        <w:tab/>
        <w:tab/>
        <w:tab/>
        <w:tab/>
        <w:tab/>
        <w:br w:type="textWrapping"/>
        <w:br w:type="textWrapping"/>
        <w:br w:type="textWrapping"/>
        <w:br w:type="textWrapping"/>
        <w:br w:type="textWrapping"/>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Période : du 1 septembre au 31 décembre 2025</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Responsable :</w:t>
      </w:r>
      <w:r w:rsidDel="00000000" w:rsidR="00000000" w:rsidRPr="00000000">
        <w:rPr>
          <w:rFonts w:ascii="Times New Roman" w:cs="Times New Roman" w:eastAsia="Times New Roman" w:hAnsi="Times New Roman"/>
          <w:rtl w:val="0"/>
        </w:rPr>
        <w:t xml:space="preserve"> NAYODAH Yawavi Messifa Sandrine</w:t>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le cadre du dispositif de suivi des activités des groupes G50, le présent rapport a été élaboré afin d’apprécier à la fois le niveau réel de mobilisation de l’épargne et la régularité de la transmission des rapports d’épargne par les groupes.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groupes G50 se réunissent de manière régulière, soit chaque semaine, soit toutes les deux semaines. À ce titre, chaque groupe est tenu de produire des rapports d’épargne périodiques, constituant un élément clé du dispositif de suivi.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chaque réunion, chaque membre épargne un montant librement consenti. Ce montant est enregistré dans l’application G50. Parallèlement, les informations relatives aux épargnes sont consignées dans un cahier d’épargne physique afin d’assurer un suivi manuel et une traçabilité complémentaire.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données saisies dans l’application G50 sont centralisées dans le Warehouse. Toutefois, certains rapports d’épargne ne parviennent pas systématiquement au système central, ce qui entraîne des écarts non seulement entre les montants issus des différentes sources, mais également entre le nombre de rapports attendus et le nombre de rapports effectivement reçus.</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Méthodologie</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données analysées dans le cadre du présent rapport proviennent du suivi régulier des activités des groupes d’épargne G50 dans les régions du </w:t>
      </w:r>
      <w:r w:rsidDel="00000000" w:rsidR="00000000" w:rsidRPr="00000000">
        <w:rPr>
          <w:rFonts w:ascii="Times New Roman" w:cs="Times New Roman" w:eastAsia="Times New Roman" w:hAnsi="Times New Roman"/>
          <w:b w:val="1"/>
          <w:bCs w:val="1"/>
          <w:sz w:val="24"/>
          <w:szCs w:val="24"/>
          <w:rtl w:val="0"/>
        </w:rPr>
        <w:t xml:space="preserve">Centre Ouest</w:t>
      </w:r>
      <w:r w:rsidDel="00000000" w:rsidR="00000000" w:rsidRPr="00000000">
        <w:rPr>
          <w:rFonts w:ascii="Times New Roman" w:cs="Times New Roman" w:eastAsia="Times New Roman" w:hAnsi="Times New Roman"/>
          <w:sz w:val="24"/>
          <w:szCs w:val="24"/>
          <w:rtl w:val="0"/>
        </w:rPr>
        <w:t xml:space="preserve">, de la </w:t>
      </w:r>
      <w:r w:rsidDel="00000000" w:rsidR="00000000" w:rsidRPr="00000000">
        <w:rPr>
          <w:rFonts w:ascii="Times New Roman" w:cs="Times New Roman" w:eastAsia="Times New Roman" w:hAnsi="Times New Roman"/>
          <w:b w:val="1"/>
          <w:bCs w:val="1"/>
          <w:sz w:val="24"/>
          <w:szCs w:val="24"/>
          <w:rtl w:val="0"/>
        </w:rPr>
        <w:t xml:space="preserve">Boucle du Mouhoun</w:t>
      </w:r>
      <w:r w:rsidDel="00000000" w:rsidR="00000000" w:rsidRPr="00000000">
        <w:rPr>
          <w:rFonts w:ascii="Times New Roman" w:cs="Times New Roman" w:eastAsia="Times New Roman" w:hAnsi="Times New Roman"/>
          <w:sz w:val="24"/>
          <w:szCs w:val="24"/>
          <w:rtl w:val="0"/>
        </w:rPr>
        <w:t xml:space="preserve"> et du </w:t>
      </w:r>
      <w:r w:rsidDel="00000000" w:rsidR="00000000" w:rsidRPr="00000000">
        <w:rPr>
          <w:rFonts w:ascii="Times New Roman" w:cs="Times New Roman" w:eastAsia="Times New Roman" w:hAnsi="Times New Roman"/>
          <w:b w:val="1"/>
          <w:bCs w:val="1"/>
          <w:sz w:val="24"/>
          <w:szCs w:val="24"/>
          <w:rtl w:val="0"/>
        </w:rPr>
        <w:t xml:space="preserve">Centre Nord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collecte des données repose sur deux principales sources complémentaires :</w:t>
      </w:r>
    </w:p>
    <w:p w:rsidR="00000000" w:rsidDel="00000000" w:rsidP="00000000" w:rsidRDefault="00000000" w:rsidRPr="00000000" w14:paraId="000000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8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cahiers d’épargne des groupes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 l’issue de chaque réunion de groupe, les montants épargnés par les membres sont enregistrés manuellement dans un cahier d’épargne physique.</w:t>
        <w:br w:type="textWrapping"/>
        <w:t xml:space="preserve">Ces cahiers sont renseignés par les </w:t>
      </w:r>
      <w:r w:rsidDel="00000000" w:rsidR="00000000" w:rsidRPr="00000000">
        <w:rPr>
          <w:rFonts w:ascii="Times New Roman" w:cs="Times New Roman" w:eastAsia="Times New Roman" w:hAnsi="Times New Roman"/>
          <w:b w:val="1"/>
          <w:bCs w:val="1"/>
          <w:sz w:val="24"/>
          <w:szCs w:val="24"/>
          <w:rtl w:val="0"/>
        </w:rPr>
        <w:t xml:space="preserve">KA </w:t>
      </w:r>
      <w:r w:rsidDel="00000000" w:rsidR="00000000" w:rsidRPr="00000000">
        <w:rPr>
          <w:rFonts w:ascii="Times New Roman" w:cs="Times New Roman" w:eastAsia="Times New Roman" w:hAnsi="Times New Roman"/>
          <w:sz w:val="24"/>
          <w:szCs w:val="24"/>
          <w:rtl w:val="0"/>
        </w:rPr>
        <w:t xml:space="preserve">et constituent la principale source de suivi terrain des épargnes réalisées par les groupes.</w:t>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8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rapports centralisés dans le Warehouse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Parallèlement au suivi manuel, les rapports d’épargne des groupes sont transmis et téléchargés dans le Warehouse, qui centralise les données numériques issues de l’application G50.</w:t>
        <w:br w:type="textWrapping"/>
        <w:t xml:space="preserve">Le Warehouse permet ainsi de consulter les rapports d’épargne disponibles pour chaque région et de compiler les montants déclarés par les groupes.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données issues des cahiers d’épargne ont été comparées à celles disponibles dans le Warehouse afin de suivre les montants d’épargne des groupes ayant effectivement démarré l’épargne, par région et par commune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Objectifs spécifiques du rapport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rapport s’appuie sur les actions suivantes :</w:t>
      </w:r>
    </w:p>
    <w:p w:rsidR="00000000" w:rsidDel="00000000" w:rsidP="00000000" w:rsidRDefault="00000000" w:rsidRPr="00000000" w14:paraId="0000001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Présenter les montants totaux des épargnes issus des cahiers et du Warehouse</w:t>
      </w:r>
    </w:p>
    <w:p w:rsidR="00000000" w:rsidDel="00000000" w:rsidP="00000000" w:rsidRDefault="00000000" w:rsidRPr="00000000" w14:paraId="0000002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Mettre en évidence les écarts entre les différentes sources de données</w:t>
      </w:r>
    </w:p>
    <w:p w:rsidR="00000000" w:rsidDel="00000000" w:rsidP="00000000" w:rsidRDefault="00000000" w:rsidRPr="00000000" w14:paraId="00000021">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Analyser la production des rapports d’épargne, en comparant les rapports attendus et les rapports effectivement reçus</w:t>
      </w:r>
    </w:p>
    <w:p w:rsidR="00000000" w:rsidDel="00000000" w:rsidP="00000000" w:rsidRDefault="00000000" w:rsidRPr="00000000" w14:paraId="00000022">
      <w:pPr>
        <w:numPr>
          <w:ilvl w:val="0"/>
          <w:numId w:val="17"/>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Présentation des résultats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Région du Centre Ouest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région du Centre Ouest regroupe les provinces du Boulkiemdé, Sanguie, Sissili et Ziro.</w:t>
      </w:r>
    </w:p>
    <w:p w:rsidR="00000000" w:rsidDel="00000000" w:rsidP="00000000" w:rsidRDefault="00000000" w:rsidRPr="00000000" w14:paraId="00000025">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 de Boulkiemdé</w:t>
      </w:r>
    </w:p>
    <w:p w:rsidR="00000000" w:rsidDel="00000000" w:rsidP="00000000" w:rsidRDefault="00000000" w:rsidRPr="00000000" w14:paraId="00000026">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1 150 550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27">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3 498 650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Un écart est constaté entre les montants enregistrés dans les cahiers et ceux centralisés dans le Warehouse. Par ailleurs, le nombre de rapports reçus demeure très inférieur au nombre de rapports attendus, ce qui limite la capacité de suivi régulier des activités d’épargne.</w:t>
      </w:r>
    </w:p>
    <w:p w:rsidR="00000000" w:rsidDel="00000000" w:rsidP="00000000" w:rsidRDefault="00000000" w:rsidRPr="00000000" w14:paraId="00000029">
      <w:pPr>
        <w:numPr>
          <w:ilvl w:val="0"/>
          <w:numId w:val="21"/>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 de Sanguie</w:t>
      </w:r>
    </w:p>
    <w:p w:rsidR="00000000" w:rsidDel="00000000" w:rsidP="00000000" w:rsidRDefault="00000000" w:rsidRPr="00000000" w14:paraId="0000002A">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575 400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2B">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4 564 900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Les montants d’épargne enregistrés sont relativement élevés. Toutefois, le nombre de rapports reçus reste en deçà des attentes au regard du nombre de groupes actifs, traduisant des insuffisances dans la remontée régulière des informations.</w:t>
      </w:r>
    </w:p>
    <w:p w:rsidR="00000000" w:rsidDel="00000000" w:rsidP="00000000" w:rsidRDefault="00000000" w:rsidRPr="00000000" w14:paraId="0000002D">
      <w:pPr>
        <w:numPr>
          <w:ilvl w:val="0"/>
          <w:numId w:val="3"/>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 de Sissili</w:t>
      </w:r>
    </w:p>
    <w:p w:rsidR="00000000" w:rsidDel="00000000" w:rsidP="00000000" w:rsidRDefault="00000000" w:rsidRPr="00000000" w14:paraId="0000002E">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275 700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2F">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557 050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La Province commune de Sissili enregistre une forte participation en termes de groupes et de membres. Néanmoins, un écart important est observé entre les montants issus des cahiers et ceux du Warehouse, combiné à un faible nombre de rapports d’épargne transmis.</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 de Ziro</w:t>
      </w:r>
    </w:p>
    <w:p w:rsidR="00000000" w:rsidDel="00000000" w:rsidP="00000000" w:rsidRDefault="00000000" w:rsidRPr="00000000" w14:paraId="00000032">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66 300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3">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154 300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Les montants mobilisés restent relativement faibles et les rapports d’épargne transmis sont largement inférieurs aux attentes, ce qui impacte le suivi effectif des activités.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Région de la Boucle du Mouhoun</w:t>
      </w:r>
    </w:p>
    <w:p w:rsidR="00000000" w:rsidDel="00000000" w:rsidP="00000000" w:rsidRDefault="00000000" w:rsidRPr="00000000" w14:paraId="00000038">
      <w:pPr>
        <w:numPr>
          <w:ilvl w:val="0"/>
          <w:numId w:val="2"/>
        </w:numPr>
        <w:spacing w:after="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Province de Bale</w:t>
      </w:r>
    </w:p>
    <w:p w:rsidR="00000000" w:rsidDel="00000000" w:rsidP="00000000" w:rsidRDefault="00000000" w:rsidRPr="00000000" w14:paraId="00000039">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478 200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A">
      <w:pPr>
        <w:numPr>
          <w:ilvl w:val="0"/>
          <w:numId w:val="22"/>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4 285 600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Une discordance entre les montants du Warehouse et ceux des cahiers. Toutefois, le nombre de rapports transmis demeure inférieur au volume attendu compte tenu du nombre de groupes.</w:t>
      </w:r>
      <w:r w:rsidDel="00000000" w:rsidR="00000000" w:rsidRPr="00000000">
        <w:rPr>
          <w:rtl w:val="0"/>
        </w:rPr>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Région du Centre Nord</w:t>
      </w:r>
      <w:r w:rsidDel="00000000" w:rsidR="00000000" w:rsidRPr="00000000">
        <w:rPr>
          <w:rtl w:val="0"/>
        </w:rPr>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 de Sanmatenga</w:t>
      </w:r>
    </w:p>
    <w:p w:rsidR="00000000" w:rsidDel="00000000" w:rsidP="00000000" w:rsidRDefault="00000000" w:rsidRPr="00000000" w14:paraId="0000003E">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(Warehouse) : </w:t>
      </w:r>
      <w:r w:rsidDel="00000000" w:rsidR="00000000" w:rsidRPr="00000000">
        <w:rPr>
          <w:rFonts w:ascii="Times New Roman" w:cs="Times New Roman" w:eastAsia="Times New Roman" w:hAnsi="Times New Roman"/>
          <w:b w:val="1"/>
          <w:bCs w:val="1"/>
          <w:sz w:val="24"/>
          <w:szCs w:val="24"/>
          <w:rtl w:val="0"/>
        </w:rPr>
        <w:t xml:space="preserve">390 153</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3F">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Montant total des épargnes (cahiers) : </w:t>
      </w:r>
      <w:r w:rsidDel="00000000" w:rsidR="00000000" w:rsidRPr="00000000">
        <w:rPr>
          <w:rFonts w:ascii="Times New Roman" w:cs="Times New Roman" w:eastAsia="Times New Roman" w:hAnsi="Times New Roman"/>
          <w:b w:val="1"/>
          <w:bCs w:val="1"/>
          <w:sz w:val="24"/>
          <w:szCs w:val="24"/>
          <w:rtl w:val="0"/>
        </w:rPr>
        <w:t xml:space="preserve">127 500</w:t>
      </w:r>
      <w:r w:rsidDel="00000000" w:rsidR="00000000" w:rsidRPr="00000000">
        <w:rPr>
          <w:rFonts w:ascii="Times New Roman" w:cs="Times New Roman" w:eastAsia="Times New Roman" w:hAnsi="Times New Roman"/>
          <w:sz w:val="24"/>
          <w:szCs w:val="24"/>
          <w:rtl w:val="0"/>
        </w:rPr>
        <w:t xml:space="preserve"> FCFA</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w:t>
        <w:br w:type="textWrapping"/>
        <w:t xml:space="preserve">Un écart est observé entre les montants issus des deux sources de données. Le nombre de rapports d’épargne reçus demeure insuffisant au regard du nombre de groupes suivis.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Tableau récapitulatif par région </w:t>
      </w:r>
    </w:p>
    <w:tbl>
      <w:tblPr>
        <w:tblStyle w:val="Table1"/>
        <w:tblpPr w:leftFromText="180" w:rightFromText="180" w:topFromText="0" w:bottomFromText="0" w:vertAnchor="text" w:horzAnchor="text" w:tblpX="4.999999999998863" w:tblpY="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650"/>
        <w:gridCol w:w="1815"/>
        <w:gridCol w:w="1815"/>
        <w:gridCol w:w="2100"/>
        <w:tblGridChange w:id="0">
          <w:tblGrid>
            <w:gridCol w:w="1980"/>
            <w:gridCol w:w="1650"/>
            <w:gridCol w:w="1815"/>
            <w:gridCol w:w="1815"/>
            <w:gridCol w:w="2100"/>
          </w:tblGrid>
        </w:tblGridChange>
      </w:tblGrid>
      <w:tr>
        <w:trPr>
          <w:cantSplit w:val="0"/>
          <w:tblHeader w:val="0"/>
        </w:trPr>
        <w:tc>
          <w:tcPr/>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RÉGION</w:t>
            </w:r>
          </w:p>
        </w:tc>
        <w:tc>
          <w:tcPr/>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MONTANT SUR WAREHOUSE</w:t>
            </w:r>
          </w:p>
        </w:tc>
        <w:tc>
          <w:tcPr/>
          <w:p w:rsidR="00000000" w:rsidDel="00000000" w:rsidP="00000000" w:rsidRDefault="00000000" w:rsidRPr="00000000" w14:paraId="000000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MONTANT SUR CAHIER</w:t>
            </w:r>
          </w:p>
        </w:tc>
        <w:tc>
          <w:tcPr/>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LES ÉCARTS</w:t>
            </w:r>
          </w:p>
        </w:tc>
        <w:tc>
          <w:tcPr/>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RAPPORTS G50 ÉPARGNES ARRIVÉS</w:t>
            </w:r>
          </w:p>
        </w:tc>
      </w:tr>
      <w:tr>
        <w:trPr>
          <w:cantSplit w:val="0"/>
          <w:trHeight w:val="386" w:hRule="atLeast"/>
          <w:tblHeader w:val="0"/>
        </w:trPr>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CENTRE OUEST</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2 067 950</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8 774 900</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6 706 950</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w:t>
            </w:r>
          </w:p>
        </w:tc>
      </w:tr>
      <w:tr>
        <w:trPr>
          <w:cantSplit w:val="0"/>
          <w:trHeight w:val="420" w:hRule="atLeast"/>
          <w:tblHeader w:val="0"/>
        </w:trPr>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CENTRE NORD</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478 200</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127 500</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350 700</w:t>
            </w:r>
          </w:p>
        </w:tc>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r>
      <w:tr>
        <w:trPr>
          <w:cantSplit w:val="0"/>
          <w:tblHeader w:val="0"/>
        </w:trPr>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BOUCLE DU MOUHOUN</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390 153</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4 285 600</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3 895 447</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bl>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numPr>
          <w:ilvl w:val="0"/>
          <w:numId w:val="10"/>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Analyse et interprétation</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L’analyse globale met en évidence que :</w:t>
      </w:r>
    </w:p>
    <w:p w:rsidR="00000000" w:rsidDel="00000000" w:rsidP="00000000" w:rsidRDefault="00000000" w:rsidRPr="00000000" w14:paraId="0000005A">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région du Centre Ouest concentre le plus grand nombre de groupes.</w:t>
      </w:r>
    </w:p>
    <w:p w:rsidR="00000000" w:rsidDel="00000000" w:rsidP="00000000" w:rsidRDefault="00000000" w:rsidRPr="00000000" w14:paraId="0000005B">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 écarts récurrents sont constatés entre les montants enregistrés dans les cahiers et ceux centralisés dans le Warehouse.</w:t>
      </w:r>
    </w:p>
    <w:p w:rsidR="00000000" w:rsidDel="00000000" w:rsidP="00000000" w:rsidRDefault="00000000" w:rsidRPr="00000000" w14:paraId="0000005C">
      <w:pPr>
        <w:numPr>
          <w:ilvl w:val="0"/>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faible taux de transmission des rapports d’épargne constitue une contrainte majeure pour le suivi efficace des activités des groupes.</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suivi des épargnes révèle une mobilisation communautaire globalement satisfaisante. Toutefois, il met également en évidence des insuffisances notables en matière de régularité et de complétude des rapports d’épargne, indispensables à un suivi fiable.</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9">
    <w:lvl w:ilvl="0">
      <w:start w:val="2"/>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4"/>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2">
    <w:lvl w:ilvl="0">
      <w:start w:val="5"/>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85" w:hanging="360"/>
      </w:pPr>
      <w:rPr/>
    </w:lvl>
    <w:lvl w:ilvl="1">
      <w:start w:val="1"/>
      <w:numFmt w:val="lowerLetter"/>
      <w:lvlText w:val="%2."/>
      <w:lvlJc w:val="left"/>
      <w:pPr>
        <w:ind w:left="1505" w:hanging="360"/>
      </w:pPr>
      <w:rPr/>
    </w:lvl>
    <w:lvl w:ilvl="2">
      <w:start w:val="1"/>
      <w:numFmt w:val="lowerRoman"/>
      <w:lvlText w:val="%3."/>
      <w:lvlJc w:val="right"/>
      <w:pPr>
        <w:ind w:left="2225" w:hanging="180"/>
      </w:pPr>
      <w:rPr/>
    </w:lvl>
    <w:lvl w:ilvl="3">
      <w:start w:val="1"/>
      <w:numFmt w:val="decimal"/>
      <w:lvlText w:val="%4."/>
      <w:lvlJc w:val="left"/>
      <w:pPr>
        <w:ind w:left="2945" w:hanging="360"/>
      </w:pPr>
      <w:rPr/>
    </w:lvl>
    <w:lvl w:ilvl="4">
      <w:start w:val="1"/>
      <w:numFmt w:val="lowerLetter"/>
      <w:lvlText w:val="%5."/>
      <w:lvlJc w:val="left"/>
      <w:pPr>
        <w:ind w:left="3665" w:hanging="360"/>
      </w:pPr>
      <w:rPr/>
    </w:lvl>
    <w:lvl w:ilvl="5">
      <w:start w:val="1"/>
      <w:numFmt w:val="lowerRoman"/>
      <w:lvlText w:val="%6."/>
      <w:lvlJc w:val="right"/>
      <w:pPr>
        <w:ind w:left="4385" w:hanging="180"/>
      </w:pPr>
      <w:rPr/>
    </w:lvl>
    <w:lvl w:ilvl="6">
      <w:start w:val="1"/>
      <w:numFmt w:val="decimal"/>
      <w:lvlText w:val="%7."/>
      <w:lvlJc w:val="left"/>
      <w:pPr>
        <w:ind w:left="5105" w:hanging="360"/>
      </w:pPr>
      <w:rPr/>
    </w:lvl>
    <w:lvl w:ilvl="7">
      <w:start w:val="1"/>
      <w:numFmt w:val="lowerLetter"/>
      <w:lvlText w:val="%8."/>
      <w:lvlJc w:val="left"/>
      <w:pPr>
        <w:ind w:left="5825" w:hanging="360"/>
      </w:pPr>
      <w:rPr/>
    </w:lvl>
    <w:lvl w:ilvl="8">
      <w:start w:val="1"/>
      <w:numFmt w:val="lowerRoman"/>
      <w:lvlText w:val="%9."/>
      <w:lvlJc w:val="right"/>
      <w:pPr>
        <w:ind w:left="6545" w:hanging="180"/>
      </w:pPr>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3"/>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BF"/>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823033"/>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823033"/>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823033"/>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823033"/>
    <w:rPr>
      <w:rFonts w:asciiTheme="majorHAnsi" w:cstheme="majorBidi" w:eastAsiaTheme="majorEastAsia" w:hAnsiTheme="majorHAnsi"/>
      <w:color w:val="2f5496" w:themeColor="accent1" w:themeShade="0000BF"/>
      <w:sz w:val="40"/>
      <w:szCs w:val="40"/>
    </w:rPr>
  </w:style>
  <w:style w:type="character" w:styleId="Titre2Car" w:customStyle="1">
    <w:name w:val="Titre 2 Car"/>
    <w:basedOn w:val="Policepardfaut"/>
    <w:link w:val="Titre2"/>
    <w:uiPriority w:val="9"/>
    <w:semiHidden w:val="1"/>
    <w:rsid w:val="00823033"/>
    <w:rPr>
      <w:rFonts w:asciiTheme="majorHAnsi" w:cstheme="majorBidi" w:eastAsiaTheme="majorEastAsia" w:hAnsiTheme="majorHAnsi"/>
      <w:color w:val="2f5496" w:themeColor="accent1" w:themeShade="0000BF"/>
      <w:sz w:val="32"/>
      <w:szCs w:val="32"/>
    </w:rPr>
  </w:style>
  <w:style w:type="character" w:styleId="Titre3Car" w:customStyle="1">
    <w:name w:val="Titre 3 Car"/>
    <w:basedOn w:val="Policepardfaut"/>
    <w:link w:val="Titre3"/>
    <w:uiPriority w:val="9"/>
    <w:semiHidden w:val="1"/>
    <w:rsid w:val="00823033"/>
    <w:rPr>
      <w:rFonts w:cstheme="majorBidi" w:eastAsiaTheme="majorEastAsia"/>
      <w:color w:val="2f5496" w:themeColor="accent1" w:themeShade="0000BF"/>
      <w:sz w:val="28"/>
      <w:szCs w:val="28"/>
    </w:rPr>
  </w:style>
  <w:style w:type="character" w:styleId="Titre4Car" w:customStyle="1">
    <w:name w:val="Titre 4 Car"/>
    <w:basedOn w:val="Policepardfaut"/>
    <w:link w:val="Titre4"/>
    <w:uiPriority w:val="9"/>
    <w:semiHidden w:val="1"/>
    <w:rsid w:val="00823033"/>
    <w:rPr>
      <w:rFonts w:cstheme="majorBidi" w:eastAsiaTheme="majorEastAsia"/>
      <w:i w:val="1"/>
      <w:iCs w:val="1"/>
      <w:color w:val="2f5496" w:themeColor="accent1" w:themeShade="0000BF"/>
    </w:rPr>
  </w:style>
  <w:style w:type="character" w:styleId="Titre5Car" w:customStyle="1">
    <w:name w:val="Titre 5 Car"/>
    <w:basedOn w:val="Policepardfaut"/>
    <w:link w:val="Titre5"/>
    <w:uiPriority w:val="9"/>
    <w:semiHidden w:val="1"/>
    <w:rsid w:val="00823033"/>
    <w:rPr>
      <w:rFonts w:cstheme="majorBidi" w:eastAsiaTheme="majorEastAsia"/>
      <w:color w:val="2f5496" w:themeColor="accent1" w:themeShade="0000BF"/>
    </w:rPr>
  </w:style>
  <w:style w:type="character" w:styleId="Titre6Car" w:customStyle="1">
    <w:name w:val="Titre 6 Car"/>
    <w:basedOn w:val="Policepardfaut"/>
    <w:link w:val="Titre6"/>
    <w:uiPriority w:val="9"/>
    <w:semiHidden w:val="1"/>
    <w:rsid w:val="00823033"/>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823033"/>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823033"/>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823033"/>
    <w:rPr>
      <w:rFonts w:cstheme="majorBidi" w:eastAsiaTheme="majorEastAsia"/>
      <w:color w:val="272727" w:themeColor="text1" w:themeTint="0000D8"/>
    </w:rPr>
  </w:style>
  <w:style w:type="character" w:styleId="TitreCar" w:customStyle="1">
    <w:name w:val="Titre Car"/>
    <w:basedOn w:val="Policepardfaut"/>
    <w:link w:val="Titre"/>
    <w:uiPriority w:val="10"/>
    <w:rsid w:val="00823033"/>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823033"/>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823033"/>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823033"/>
    <w:rPr>
      <w:i w:val="1"/>
      <w:iCs w:val="1"/>
      <w:color w:val="404040" w:themeColor="text1" w:themeTint="0000BF"/>
    </w:rPr>
  </w:style>
  <w:style w:type="paragraph" w:styleId="Paragraphedeliste">
    <w:name w:val="List Paragraph"/>
    <w:basedOn w:val="Normal"/>
    <w:uiPriority w:val="34"/>
    <w:qFormat w:val="1"/>
    <w:rsid w:val="00823033"/>
    <w:pPr>
      <w:ind w:left="720"/>
      <w:contextualSpacing w:val="1"/>
    </w:pPr>
  </w:style>
  <w:style w:type="character" w:styleId="Accentuationintense">
    <w:name w:val="Intense Emphasis"/>
    <w:basedOn w:val="Policepardfaut"/>
    <w:uiPriority w:val="21"/>
    <w:qFormat w:val="1"/>
    <w:rsid w:val="00823033"/>
    <w:rPr>
      <w:i w:val="1"/>
      <w:iCs w:val="1"/>
      <w:color w:val="2f5496" w:themeColor="accent1" w:themeShade="0000BF"/>
    </w:rPr>
  </w:style>
  <w:style w:type="paragraph" w:styleId="Citationintense">
    <w:name w:val="Intense Quote"/>
    <w:basedOn w:val="Normal"/>
    <w:next w:val="Normal"/>
    <w:link w:val="CitationintenseCar"/>
    <w:uiPriority w:val="30"/>
    <w:qFormat w:val="1"/>
    <w:rsid w:val="008230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tionintenseCar" w:customStyle="1">
    <w:name w:val="Citation intense Car"/>
    <w:basedOn w:val="Policepardfaut"/>
    <w:link w:val="Citationintense"/>
    <w:uiPriority w:val="30"/>
    <w:rsid w:val="00823033"/>
    <w:rPr>
      <w:i w:val="1"/>
      <w:iCs w:val="1"/>
      <w:color w:val="2f5496" w:themeColor="accent1" w:themeShade="0000BF"/>
    </w:rPr>
  </w:style>
  <w:style w:type="character" w:styleId="Rfrenceintense">
    <w:name w:val="Intense Reference"/>
    <w:basedOn w:val="Policepardfaut"/>
    <w:uiPriority w:val="32"/>
    <w:qFormat w:val="1"/>
    <w:rsid w:val="00823033"/>
    <w:rPr>
      <w:b w:val="1"/>
      <w:bCs w:val="1"/>
      <w:smallCaps w:val="1"/>
      <w:color w:val="2f5496" w:themeColor="accent1" w:themeShade="0000BF"/>
      <w:spacing w:val="5"/>
    </w:rPr>
  </w:style>
  <w:style w:type="table" w:styleId="Grilledutableau">
    <w:name w:val="Table Grid"/>
    <w:basedOn w:val="TableauNormal"/>
    <w:uiPriority w:val="39"/>
    <w:rsid w:val="00AA69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tte">
    <w:name w:val="header"/>
    <w:basedOn w:val="Normal"/>
    <w:link w:val="En-tteCar"/>
    <w:uiPriority w:val="99"/>
    <w:unhideWhenUsed w:val="1"/>
    <w:rsid w:val="00E0701B"/>
    <w:pPr>
      <w:tabs>
        <w:tab w:val="center" w:pos="4536"/>
        <w:tab w:val="right" w:pos="9072"/>
      </w:tabs>
      <w:spacing w:after="0" w:line="240" w:lineRule="auto"/>
    </w:pPr>
  </w:style>
  <w:style w:type="character" w:styleId="En-tteCar" w:customStyle="1">
    <w:name w:val="En-tête Car"/>
    <w:basedOn w:val="Policepardfaut"/>
    <w:link w:val="En-tte"/>
    <w:uiPriority w:val="99"/>
    <w:rsid w:val="00E0701B"/>
  </w:style>
  <w:style w:type="paragraph" w:styleId="Pieddepage">
    <w:name w:val="footer"/>
    <w:basedOn w:val="Normal"/>
    <w:link w:val="PieddepageCar"/>
    <w:uiPriority w:val="99"/>
    <w:unhideWhenUsed w:val="1"/>
    <w:rsid w:val="00E0701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E0701B"/>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aSdxjEMcogR0IdauGY7jQnn4kg==">CgMxLjA4AHIhMVNzazNBU1BMcUxyeTRoZ1RNcjZWTmNOYUdPcGxVNlB6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2026-01-28T17:07:00Z</dcterms:created>
  <dc:creator>ella nayodah</dc:creator>
</cp:coreProperties>
</file>