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9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/>
          <w:bCs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/>
          <w:bCs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9"/>
    <w:bookmarkStart w:id="10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2059"/>
        <w:gridCol w:w="1108"/>
        <w:gridCol w:w="110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Route Group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</w:pPr>
            <w:r>
              <w:t xml:space="preserve">Light mode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</w:pPr>
            <w:r>
              <w:t xml:space="preserve">Dark mode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Checkout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</w:pPr>
            <w:r>
              <w:t xml:space="preserve">Light mode</w:t>
            </w:r>
          </w:p>
        </w:tc>
        <w:tc>
          <w:tcPr/>
          <w:p>
            <w:pPr>
              <w:pStyle w:val="Compac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10"/>
    <w:bookmarkStart w:id="11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11"/>
    <w:bookmarkStart w:id="12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56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Fax</w:t>
            </w:r>
          </w:p>
        </w:tc>
        <w:tc>
          <w:tcPr/>
          <w:p>
            <w:pPr>
              <w:pStyle w:val="Compac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08"/>
        <w:gridCol w:w="2074"/>
        <w:gridCol w:w="132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Pharmacies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</w:pPr>
            <w:r>
              <w:t xml:space="preserve">~5 min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</w:t>
            </w:r>
          </w:p>
        </w:tc>
        <w:tc>
          <w:tcPr/>
          <w:p>
            <w:pPr>
              <w:pStyle w:val="Compac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13" w:name="routing-logic"/>
    <w:p>
      <w:pPr>
        <w:pStyle w:val="Heading3"/>
      </w:pPr>
      <w:r>
        <w:t xml:space="preserve">Routing Logic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/>
          <w:bCs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/>
          <w:bCs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/>
          <w:bCs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15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“Custom compounded prescription order.”</w:t>
      </w:r>
      <w:r>
        <w:t xml:space="preserve"> </w:t>
      </w:r>
      <w:r>
        <w:t xml:space="preserve">No medication names, patient names, or NPI numbers.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17"/>
    <w:bookmarkStart w:id="19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SLA Type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  <w:tc>
          <w:tcPr/>
          <w:p>
            <w:pPr>
              <w:pStyle w:val="Compac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  <w:tc>
          <w:tcPr/>
          <w:p>
            <w:pPr>
              <w:pStyle w:val="Compac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</w:pPr>
            <w:r>
              <w:t xml:space="preserve">Pharmacy acknowledges (Tier 1/2/3)</w:t>
            </w:r>
          </w:p>
        </w:tc>
      </w:tr>
    </w:tbl>
    <w:bookmarkStart w:id="18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0</w:t>
            </w:r>
          </w:p>
        </w:tc>
        <w:tc>
          <w:tcPr/>
          <w:p>
            <w:pPr>
              <w:pStyle w:val="Compac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Documo</w:t>
            </w:r>
          </w:p>
        </w:tc>
        <w:tc>
          <w:tcPr/>
          <w:p>
            <w:pPr>
              <w:pStyle w:val="Compac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Twilio</w:t>
            </w:r>
          </w:p>
        </w:tc>
        <w:tc>
          <w:tcPr/>
          <w:p>
            <w:pPr>
              <w:pStyle w:val="Compac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Pharmacy APIs</w:t>
            </w:r>
          </w:p>
        </w:tc>
        <w:tc>
          <w:tcPr/>
          <w:p>
            <w:pPr>
              <w:pStyle w:val="Compac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20"/>
    <w:bookmarkStart w:id="24" w:name="database-schema"/>
    <w:p>
      <w:pPr>
        <w:pStyle w:val="Heading2"/>
      </w:pPr>
      <w:r>
        <w:t xml:space="preserve">10. Database Schema</w:t>
      </w:r>
    </w:p>
    <w:bookmarkStart w:id="21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/>
          <w:bCs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/>
          <w:bCs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/>
          <w:bCs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/>
          <w:bCs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/>
          <w:bCs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/>
          <w:bCs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21"/>
    <w:bookmarkStart w:id="22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22"/>
    <w:bookmarkStart w:id="23" w:name="key-schema-principles"/>
    <w:p>
      <w:pPr>
        <w:pStyle w:val="Heading3"/>
      </w:pPr>
      <w:r>
        <w:t xml:space="preserve">Key Schema Principles</w:t>
      </w:r>
    </w:p>
    <w:p>
      <w:pPr>
        <w:pStyle w:val="Compact"/>
        <w:numPr>
          <w:ilvl w:val="0"/>
          <w:numId w:val="1003"/>
        </w:numPr>
      </w:pPr>
      <w:r>
        <w:t xml:space="preserve">All monetary values: NUMERIC(10,2) — never floating point</w:t>
      </w:r>
    </w:p>
    <w:p>
      <w:pPr>
        <w:pStyle w:val="Compact"/>
        <w:numPr>
          <w:ilvl w:val="0"/>
          <w:numId w:val="1003"/>
        </w:numPr>
      </w:pPr>
      <w:r>
        <w:t xml:space="preserve">Soft-delete on all tables (deleted_at + is_active) — no physical DELETEs</w:t>
      </w:r>
    </w:p>
    <w:p>
      <w:pPr>
        <w:pStyle w:val="Compact"/>
        <w:numPr>
          <w:ilvl w:val="0"/>
          <w:numId w:val="1003"/>
        </w:numPr>
      </w:pPr>
      <w:r>
        <w:t xml:space="preserve">Append-only audit tables for all state transitions (order_status_history, epcs_audit_log, phase_advancement_history)</w:t>
      </w:r>
    </w:p>
    <w:p>
      <w:pPr>
        <w:pStyle w:val="Compact"/>
        <w:numPr>
          <w:ilvl w:val="0"/>
          <w:numId w:val="1003"/>
        </w:numPr>
      </w:pPr>
      <w:r>
        <w:t xml:space="preserve">TOTP secrets encrypted with AES-256-GCM at rest</w:t>
      </w:r>
    </w:p>
    <w:p>
      <w:pPr>
        <w:pStyle w:val="Compact"/>
        <w:numPr>
          <w:ilvl w:val="0"/>
          <w:numId w:val="1003"/>
        </w:numPr>
      </w:pPr>
      <w:r>
        <w:t xml:space="preserve">Supabase Vault for all pharmacy credentials (UUID references, never plaintext)</w:t>
      </w:r>
    </w:p>
    <w:p>
      <w:pPr>
        <w:pStyle w:val="Compact"/>
        <w:numPr>
          <w:ilvl w:val="0"/>
          <w:numId w:val="1003"/>
        </w:numPr>
      </w:pPr>
      <w:r>
        <w:t xml:space="preserve">Foreign keys enforced everywhere</w:t>
      </w:r>
    </w:p>
    <w:p>
      <w:pPr>
        <w:pStyle w:val="Compact"/>
        <w:numPr>
          <w:ilvl w:val="0"/>
          <w:numId w:val="1003"/>
        </w:numPr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</w:pPr>
            <w:r>
              <w:t xml:space="preserve">Every hour</w:t>
            </w:r>
          </w:p>
        </w:tc>
        <w:tc>
          <w:tcPr/>
          <w:p>
            <w:pPr>
              <w:pStyle w:val="Compac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25"/>
    <w:bookmarkStart w:id="29" w:name="security-hipaa-compliance"/>
    <w:p>
      <w:pPr>
        <w:pStyle w:val="Heading2"/>
      </w:pPr>
      <w:r>
        <w:t xml:space="preserve">12. Security &amp; HIPAA Compliance</w:t>
      </w:r>
    </w:p>
    <w:bookmarkStart w:id="26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EPCS 2FA</w:t>
            </w:r>
          </w:p>
        </w:tc>
        <w:tc>
          <w:tcPr/>
          <w:p>
            <w:pPr>
              <w:pStyle w:val="Compac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SMS</w:t>
            </w:r>
          </w:p>
        </w:tc>
        <w:tc>
          <w:tcPr/>
          <w:p>
            <w:pPr>
              <w:pStyle w:val="Compac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</w:pPr>
            <w:r>
              <w:t xml:space="preserve">DISABLED — hard HIPAA requirement (leaks PHI via WebSocket)</w:t>
            </w:r>
          </w:p>
        </w:tc>
      </w:tr>
    </w:tbl>
    <w:bookmarkEnd w:id="26"/>
    <w:bookmarkStart w:id="27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11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 admins</w:t>
            </w:r>
          </w:p>
        </w:tc>
        <w:tc>
          <w:tcPr/>
          <w:p>
            <w:pPr>
              <w:pStyle w:val="Compac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</w:t>
            </w:r>
          </w:p>
        </w:tc>
        <w:tc>
          <w:tcPr/>
          <w:p>
            <w:pPr>
              <w:pStyle w:val="Compac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jobs</w:t>
            </w:r>
          </w:p>
        </w:tc>
        <w:tc>
          <w:tcPr/>
          <w:p>
            <w:pPr>
              <w:pStyle w:val="Compac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</w:pPr>
            <w:r>
              <w:t xml:space="preserve">Service role</w:t>
            </w:r>
          </w:p>
        </w:tc>
      </w:tr>
    </w:tbl>
    <w:bookmarkEnd w:id="27"/>
    <w:bookmarkStart w:id="28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Clinic App</w:t>
            </w:r>
          </w:p>
        </w:tc>
        <w:tc>
          <w:tcPr/>
          <w:p>
            <w:pPr>
              <w:pStyle w:val="Compac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ops_admin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 types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types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jobs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</w:pPr>
            <w:r>
              <w:t xml:space="preserve">81 (5 backlog)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roles</w:t>
            </w:r>
          </w:p>
        </w:tc>
        <w:tc>
          <w:tcPr/>
          <w:p>
            <w:pPr>
              <w:pStyle w:val="Compac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t xml:space="preserve">40+ across 8 categories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2026-04-19T13:46:21Z</dcterms:created>
  <dcterms:modified xsi:type="dcterms:W3CDTF">2026-04-19T13:46:21Z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