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compoundiq-pharmacy-integration-guide"/>
    <w:p>
      <w:pPr>
        <w:pStyle w:val="Heading1"/>
      </w:pPr>
      <w:r>
        <w:t xml:space="preserve">CompoundIQ — Pharmacy Integration Guide</w:t>
      </w:r>
    </w:p>
    <w:p>
      <w:pPr>
        <w:pStyle w:val="FirstParagraph"/>
      </w:pPr>
      <w:r>
        <w:rPr>
          <w:bCs/>
          <w:b/>
        </w:rPr>
        <w:t xml:space="preserve">Version:</w:t>
      </w:r>
      <w:r>
        <w:t xml:space="preserve"> </w:t>
      </w:r>
      <w:r>
        <w:t xml:space="preserve">2.0 |</w:t>
      </w:r>
      <w:r>
        <w:t xml:space="preserve"> </w:t>
      </w:r>
      <w:r>
        <w:rPr>
          <w:bCs/>
          <w:b/>
        </w:rPr>
        <w:t xml:space="preserve">Date:</w:t>
      </w:r>
      <w:r>
        <w:t xml:space="preserve"> </w:t>
      </w:r>
      <w:r>
        <w:t xml:space="preserve">April 9, 2026</w:t>
      </w:r>
      <w:r>
        <w:t xml:space="preserve"> </w:t>
      </w:r>
      <w:r>
        <w:rPr>
          <w:bCs/>
          <w:b/>
        </w:rPr>
        <w:t xml:space="preserve">Audience:</w:t>
      </w:r>
      <w:r>
        <w:t xml:space="preserve"> </w:t>
      </w:r>
      <w:r>
        <w:t xml:space="preserve">Pharmacy technical teams, integration engineers, API developers</w:t>
      </w:r>
    </w:p>
    <w:p>
      <w:r>
        <w:pict>
          <v:rect style="width:0;height:1.5pt" o:hralign="center" o:hrstd="t" o:hr="t"/>
        </w:pict>
      </w:r>
    </w:p>
    <w:bookmarkStart w:id="20"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20"/>
    <w:bookmarkStart w:id="21" w:name="Xa6bc62282e804708f540218c355323d5d5287d6"/>
    <w:p>
      <w:pPr>
        <w:pStyle w:val="Heading2"/>
      </w:pPr>
      <w:r>
        <w:t xml:space="preserve">Integration Tiers — Which One Is Right for You?</w:t>
      </w:r>
    </w:p>
    <w:tbl>
      <w:tblPr>
        <w:tblStyle w:val="Table"/>
        <w:tblW w:type="pct" w:w="5000"/>
        <w:tblLook w:firstRow="1" w:lastRow="0" w:firstColumn="0" w:lastColumn="0" w:noHBand="0" w:noVBand="0" w:val="0020"/>
        <w:jc w:val="start"/>
      </w:tblPr>
      <w:tblGrid>
        <w:gridCol w:w="1080"/>
        <w:gridCol w:w="2520"/>
        <w:gridCol w:w="2340"/>
        <w:gridCol w:w="1980"/>
      </w:tblGrid>
      <w:tr>
        <w:trPr>
          <w:tblHeader w:val="true"/>
        </w:trPr>
        <w:tc>
          <w:tcPr/>
          <w:p>
            <w:pPr>
              <w:pStyle w:val="Compact"/>
              <w:jc w:val="left"/>
            </w:pPr>
            <w:r>
              <w:t xml:space="preserve">Tier</w:t>
            </w:r>
          </w:p>
        </w:tc>
        <w:tc>
          <w:tcPr/>
          <w:p>
            <w:pPr>
              <w:pStyle w:val="Compact"/>
              <w:jc w:val="left"/>
            </w:pPr>
            <w:r>
              <w:t xml:space="preserve">What You Need</w:t>
            </w:r>
          </w:p>
        </w:tc>
        <w:tc>
          <w:tcPr/>
          <w:p>
            <w:pPr>
              <w:pStyle w:val="Compact"/>
              <w:jc w:val="left"/>
            </w:pPr>
            <w:r>
              <w:t xml:space="preserve">What You Get</w:t>
            </w:r>
          </w:p>
        </w:tc>
        <w:tc>
          <w:tcPr/>
          <w:p>
            <w:pPr>
              <w:pStyle w:val="Compact"/>
              <w:jc w:val="left"/>
            </w:pPr>
            <w:r>
              <w:t xml:space="preserve">Setup Time</w:t>
            </w:r>
          </w:p>
        </w:tc>
      </w:tr>
      <w:tr>
        <w:tc>
          <w:tcPr/>
          <w:p>
            <w:pPr>
              <w:pStyle w:val="Compact"/>
              <w:jc w:val="left"/>
            </w:pPr>
            <w:r>
              <w:rPr>
                <w:bCs/>
                <w:b/>
              </w:rPr>
              <w:t xml:space="preserve">Tier 1 — Direct API</w:t>
            </w:r>
          </w:p>
        </w:tc>
        <w:tc>
          <w:tcPr/>
          <w:p>
            <w:pPr>
              <w:pStyle w:val="Compact"/>
              <w:jc w:val="left"/>
            </w:pPr>
            <w:r>
              <w:t xml:space="preserve">Your pharmacy already has a REST API</w:t>
            </w:r>
          </w:p>
        </w:tc>
        <w:tc>
          <w:tcPr/>
          <w:p>
            <w:pPr>
              <w:pStyle w:val="Compact"/>
              <w:jc w:val="left"/>
            </w:pPr>
            <w:r>
              <w:t xml:space="preserve">We integrate with your existing API. You receive orders and send status updates via webhooks.</w:t>
            </w:r>
          </w:p>
        </w:tc>
        <w:tc>
          <w:tcPr/>
          <w:p>
            <w:pPr>
              <w:pStyle w:val="Compact"/>
              <w:jc w:val="left"/>
            </w:pPr>
            <w:r>
              <w:t xml:space="preserve">1–2 weeks</w:t>
            </w:r>
          </w:p>
        </w:tc>
      </w:tr>
      <w:tr>
        <w:tc>
          <w:tcPr/>
          <w:p>
            <w:pPr>
              <w:pStyle w:val="Compact"/>
              <w:jc w:val="left"/>
            </w:pPr>
            <w:r>
              <w:rPr>
                <w:bCs/>
                <w:b/>
              </w:rPr>
              <w:t xml:space="preserve">Tier 3 — Our Published Spec</w:t>
            </w:r>
          </w:p>
        </w:tc>
        <w:tc>
          <w:tcPr/>
          <w:p>
            <w:pPr>
              <w:pStyle w:val="Compact"/>
              <w:jc w:val="left"/>
            </w:pPr>
            <w:r>
              <w:t xml:space="preserve">Your pharmacy can implement an API</w:t>
            </w:r>
          </w:p>
        </w:tc>
        <w:tc>
          <w:tcPr/>
          <w:p>
            <w:pPr>
              <w:pStyle w:val="Compact"/>
              <w:jc w:val="left"/>
            </w:pPr>
            <w:r>
              <w:t xml:space="preserve">You implement our standardized specification. Same benefits as Tier 1 but using a common contract.</w:t>
            </w:r>
          </w:p>
        </w:tc>
        <w:tc>
          <w:tcPr/>
          <w:p>
            <w:pPr>
              <w:pStyle w:val="Compact"/>
              <w:jc w:val="left"/>
            </w:pPr>
            <w:r>
              <w:t xml:space="preserve">2–4 weeks</w:t>
            </w:r>
          </w:p>
        </w:tc>
      </w:tr>
      <w:tr>
        <w:tc>
          <w:tcPr/>
          <w:p>
            <w:pPr>
              <w:pStyle w:val="Compact"/>
              <w:jc w:val="left"/>
            </w:pPr>
            <w:r>
              <w:rPr>
                <w:bCs/>
                <w:b/>
              </w:rPr>
              <w:t xml:space="preserve">Tier 2 — Portal Automation</w:t>
            </w:r>
          </w:p>
        </w:tc>
        <w:tc>
          <w:tcPr/>
          <w:p>
            <w:pPr>
              <w:pStyle w:val="Compact"/>
              <w:jc w:val="left"/>
            </w:pPr>
            <w:r>
              <w:t xml:space="preserve">Your pharmacy has a web portal (no API)</w:t>
            </w:r>
          </w:p>
        </w:tc>
        <w:tc>
          <w:tcPr/>
          <w:p>
            <w:pPr>
              <w:pStyle w:val="Compact"/>
              <w:jc w:val="left"/>
            </w:pPr>
            <w:r>
              <w:t xml:space="preserve">We automate order submission through your existing portal using headless browser technology. No development work on your end.</w:t>
            </w:r>
          </w:p>
        </w:tc>
        <w:tc>
          <w:tcPr/>
          <w:p>
            <w:pPr>
              <w:pStyle w:val="Compact"/>
              <w:jc w:val="left"/>
            </w:pPr>
            <w:r>
              <w:t xml:space="preserve">1 week (our side)</w:t>
            </w:r>
          </w:p>
        </w:tc>
      </w:tr>
      <w:tr>
        <w:tc>
          <w:tcPr/>
          <w:p>
            <w:pPr>
              <w:pStyle w:val="Compact"/>
              <w:jc w:val="left"/>
            </w:pPr>
            <w:r>
              <w:rPr>
                <w:bCs/>
                <w:b/>
              </w:rPr>
              <w:t xml:space="preserve">Tier 4 — Fax</w:t>
            </w:r>
          </w:p>
        </w:tc>
        <w:tc>
          <w:tcPr/>
          <w:p>
            <w:pPr>
              <w:pStyle w:val="Compact"/>
              <w:jc w:val="left"/>
            </w:pPr>
            <w:r>
              <w:t xml:space="preserve">No API or portal</w:t>
            </w:r>
          </w:p>
        </w:tc>
        <w:tc>
          <w:tcPr/>
          <w:p>
            <w:pPr>
              <w:pStyle w:val="Compact"/>
              <w:jc w:val="left"/>
            </w:pPr>
            <w:r>
              <w:t xml:space="preserve">We fax prescriptions to your registered fax number. This is the default for all pharmacies.</w:t>
            </w:r>
          </w:p>
        </w:tc>
        <w:tc>
          <w:tcPr/>
          <w:p>
            <w:pPr>
              <w:pStyle w:val="Compact"/>
              <w:jc w:val="left"/>
            </w:pPr>
            <w:r>
              <w:t xml:space="preserve">Immediate</w:t>
            </w:r>
          </w:p>
        </w:tc>
      </w:tr>
    </w:tbl>
    <w:p>
      <w:pPr>
        <w:pStyle w:val="BodyText"/>
      </w:pPr>
      <w:r>
        <w:rPr>
          <w:bCs/>
          <w:b/>
        </w:rPr>
        <w:t xml:space="preserve">If your pharmacy has an existing API</w:t>
      </w:r>
      <w:r>
        <w:t xml:space="preserve"> </w:t>
      </w:r>
      <w:r>
        <w:t xml:space="preserve">(like ReviveRX, Vios, MediVera, or LifeFile), choose</w:t>
      </w:r>
      <w:r>
        <w:t xml:space="preserve"> </w:t>
      </w:r>
      <w:r>
        <w:rPr>
          <w:bCs/>
          <w:b/>
        </w:rPr>
        <w:t xml:space="preserve">Tier 1</w:t>
      </w:r>
      <w:r>
        <w:t xml:space="preserve">.</w:t>
      </w:r>
      <w:r>
        <w:t xml:space="preserve"> </w:t>
      </w:r>
      <w:r>
        <w:rPr>
          <w:bCs/>
          <w:b/>
        </w:rPr>
        <w:t xml:space="preserve">If your pharmacy wants to build an API</w:t>
      </w:r>
      <w:r>
        <w:t xml:space="preserve">, choose</w:t>
      </w:r>
      <w:r>
        <w:t xml:space="preserve"> </w:t>
      </w:r>
      <w:r>
        <w:rPr>
          <w:bCs/>
          <w:b/>
        </w:rPr>
        <w:t xml:space="preserve">Tier 3</w:t>
      </w:r>
      <w:r>
        <w:t xml:space="preserve"> </w:t>
      </w:r>
      <w:r>
        <w:t xml:space="preserve">and implement our published specification.</w:t>
      </w:r>
      <w:r>
        <w:t xml:space="preserve"> </w:t>
      </w:r>
      <w:r>
        <w:rPr>
          <w:bCs/>
          <w:b/>
        </w:rPr>
        <w:t xml:space="preserve">If your pharmacy only has a web portal</w:t>
      </w:r>
      <w:r>
        <w:t xml:space="preserve">, we handle</w:t>
      </w:r>
      <w:r>
        <w:t xml:space="preserve"> </w:t>
      </w:r>
      <w:r>
        <w:rPr>
          <w:bCs/>
          <w:b/>
        </w:rPr>
        <w:t xml:space="preserve">Tier 2</w:t>
      </w:r>
      <w:r>
        <w:t xml:space="preserve"> </w:t>
      </w:r>
      <w:r>
        <w:t xml:space="preserve">— no work required from your team.</w:t>
      </w:r>
    </w:p>
    <w:p>
      <w:r>
        <w:pict>
          <v:rect style="width:0;height:1.5pt" o:hralign="center" o:hrstd="t" o:hr="t"/>
        </w:pict>
      </w:r>
    </w:p>
    <w:bookmarkEnd w:id="21"/>
    <w:bookmarkStart w:id="27" w:name="tier-1-integrating-your-existing-api"/>
    <w:p>
      <w:pPr>
        <w:pStyle w:val="Heading2"/>
      </w:pPr>
      <w:r>
        <w:t xml:space="preserve">Tier 1 — Integrating Your Existing API</w:t>
      </w:r>
    </w:p>
    <w:bookmarkStart w:id="22" w:name="what-we-need-from-you"/>
    <w:p>
      <w:pPr>
        <w:pStyle w:val="Heading3"/>
      </w:pPr>
      <w:r>
        <w:t xml:space="preserve">What We Need From You</w:t>
      </w:r>
    </w:p>
    <w:p>
      <w:pPr>
        <w:numPr>
          <w:ilvl w:val="0"/>
          <w:numId w:val="1001"/>
        </w:numPr>
        <w:pStyle w:val="Compact"/>
      </w:pPr>
      <w:r>
        <w:rPr>
          <w:bCs/>
          <w:b/>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numPr>
          <w:ilvl w:val="0"/>
          <w:numId w:val="1001"/>
        </w:numPr>
        <w:pStyle w:val="Compact"/>
      </w:pPr>
      <w:r>
        <w:rPr>
          <w:bCs/>
          <w:b/>
        </w:rPr>
        <w:t xml:space="preserve">Authentication credentials</w:t>
      </w:r>
      <w:r>
        <w:t xml:space="preserve"> </w:t>
      </w:r>
      <w:r>
        <w:t xml:space="preserve">— API key, bearer token, or OAuth client credentials</w:t>
      </w:r>
    </w:p>
    <w:p>
      <w:pPr>
        <w:numPr>
          <w:ilvl w:val="0"/>
          <w:numId w:val="1001"/>
        </w:numPr>
        <w:pStyle w:val="Compact"/>
      </w:pPr>
      <w:r>
        <w:rPr>
          <w:bCs/>
          <w:b/>
        </w:rPr>
        <w:t xml:space="preserve">API documentation</w:t>
      </w:r>
      <w:r>
        <w:t xml:space="preserve"> </w:t>
      </w:r>
      <w:r>
        <w:t xml:space="preserve">— Your endpoint specifications for order submission and status queries</w:t>
      </w:r>
    </w:p>
    <w:p>
      <w:pPr>
        <w:numPr>
          <w:ilvl w:val="0"/>
          <w:numId w:val="1001"/>
        </w:numPr>
        <w:pStyle w:val="Compact"/>
      </w:pPr>
      <w:r>
        <w:rPr>
          <w:bCs/>
          <w:b/>
        </w:rPr>
        <w:t xml:space="preserve">Webhook endpoint on your side</w:t>
      </w:r>
      <w:r>
        <w:t xml:space="preserve"> </w:t>
      </w:r>
      <w:r>
        <w:t xml:space="preserve">(optional) — If you want to push status updates to us proactively</w:t>
      </w:r>
    </w:p>
    <w:p>
      <w:pPr>
        <w:numPr>
          <w:ilvl w:val="0"/>
          <w:numId w:val="1001"/>
        </w:numPr>
        <w:pStyle w:val="Compact"/>
      </w:pPr>
      <w:r>
        <w:rPr>
          <w:bCs/>
          <w:b/>
        </w:rPr>
        <w:t xml:space="preserve">Test environment</w:t>
      </w:r>
      <w:r>
        <w:t xml:space="preserve"> </w:t>
      </w:r>
      <w:r>
        <w:t xml:space="preserve">— A sandbox or test mode for integration testing before going live</w:t>
      </w:r>
    </w:p>
    <w:bookmarkEnd w:id="22"/>
    <w:bookmarkStart w:id="23" w:name="what-we-provide-to-you"/>
    <w:p>
      <w:pPr>
        <w:pStyle w:val="Heading3"/>
      </w:pPr>
      <w:r>
        <w:t xml:space="preserve">What We Provide to You</w:t>
      </w:r>
    </w:p>
    <w:p>
      <w:pPr>
        <w:numPr>
          <w:ilvl w:val="0"/>
          <w:numId w:val="1002"/>
        </w:numPr>
        <w:pStyle w:val="Compact"/>
      </w:pPr>
      <w:r>
        <w:rPr>
          <w:bCs/>
          <w:b/>
        </w:rPr>
        <w:t xml:space="preserve">Webhook receiver endpoint</w:t>
      </w:r>
      <w:r>
        <w:t xml:space="preserve"> </w:t>
      </w:r>
      <w:r>
        <w:t xml:space="preserve">—</w:t>
      </w:r>
      <w:r>
        <w:t xml:space="preserve"> </w:t>
      </w:r>
      <w:r>
        <w:rPr>
          <w:rStyle w:val="VerbatimChar"/>
        </w:rPr>
        <w:t xml:space="preserve">https://app.compoundiq.com/api/webhooks/pharmacy/{your-slug}</w:t>
      </w:r>
    </w:p>
    <w:p>
      <w:pPr>
        <w:numPr>
          <w:ilvl w:val="0"/>
          <w:numId w:val="1002"/>
        </w:numPr>
        <w:pStyle w:val="Compact"/>
      </w:pPr>
      <w:r>
        <w:rPr>
          <w:bCs/>
          <w:b/>
        </w:rPr>
        <w:t xml:space="preserve">Webhook signing secret</w:t>
      </w:r>
      <w:r>
        <w:t xml:space="preserve"> </w:t>
      </w:r>
      <w:r>
        <w:t xml:space="preserve">— An HMAC-SHA256 shared secret for verifying webhook authenticity</w:t>
      </w:r>
    </w:p>
    <w:p>
      <w:pPr>
        <w:numPr>
          <w:ilvl w:val="0"/>
          <w:numId w:val="1002"/>
        </w:numPr>
        <w:pStyle w:val="Compact"/>
      </w:pPr>
      <w:r>
        <w:rPr>
          <w:bCs/>
          <w:b/>
        </w:rPr>
        <w:t xml:space="preserve">Order payload format</w:t>
      </w:r>
      <w:r>
        <w:t xml:space="preserve"> </w:t>
      </w:r>
      <w:r>
        <w:t xml:space="preserve">— The structure of prescription orders we send to your API</w:t>
      </w:r>
    </w:p>
    <w:p>
      <w:pPr>
        <w:numPr>
          <w:ilvl w:val="0"/>
          <w:numId w:val="1002"/>
        </w:numPr>
        <w:pStyle w:val="Compact"/>
      </w:pPr>
      <w:r>
        <w:rPr>
          <w:bCs/>
          <w:b/>
        </w:rPr>
        <w:t xml:space="preserve">Test orders</w:t>
      </w:r>
      <w:r>
        <w:t xml:space="preserve"> </w:t>
      </w:r>
      <w:r>
        <w:t xml:space="preserve">— Synthetic test prescriptions for validating the integration</w:t>
      </w:r>
    </w:p>
    <w:bookmarkEnd w:id="23"/>
    <w:bookmarkStart w:id="24"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Cs/>
          <w:b/>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24"/>
    <w:bookmarkStart w:id="25" w:name="signature-verification"/>
    <w:p>
      <w:pPr>
        <w:pStyle w:val="Heading3"/>
      </w:pPr>
      <w:r>
        <w:t xml:space="preserve">Signature Verification</w:t>
      </w:r>
    </w:p>
    <w:p>
      <w:pPr>
        <w:pStyle w:val="FirstParagraph"/>
      </w:pPr>
      <w:r>
        <w:t xml:space="preserve">We verify every incoming webhook using HMAC-SHA256:</w:t>
      </w:r>
    </w:p>
    <w:p>
      <w:pPr>
        <w:numPr>
          <w:ilvl w:val="0"/>
          <w:numId w:val="1003"/>
        </w:numPr>
        <w:pStyle w:val="Compact"/>
      </w:pPr>
      <w:r>
        <w:t xml:space="preserve">We compute</w:t>
      </w:r>
      <w:r>
        <w:t xml:space="preserve"> </w:t>
      </w:r>
      <w:r>
        <w:rPr>
          <w:rStyle w:val="VerbatimChar"/>
        </w:rPr>
        <w:t xml:space="preserve">HMAC-SHA256(request_body, shared_secret)</w:t>
      </w:r>
    </w:p>
    <w:p>
      <w:pPr>
        <w:numPr>
          <w:ilvl w:val="0"/>
          <w:numId w:val="1003"/>
        </w:numPr>
        <w:pStyle w:val="Compact"/>
      </w:pPr>
      <w:r>
        <w:t xml:space="preserve">We compare the result to the</w:t>
      </w:r>
      <w:r>
        <w:t xml:space="preserve"> </w:t>
      </w:r>
      <w:r>
        <w:rPr>
          <w:rStyle w:val="VerbatimChar"/>
        </w:rPr>
        <w:t xml:space="preserve">X-Pharmacy-Signature</w:t>
      </w:r>
      <w:r>
        <w:t xml:space="preserve"> </w:t>
      </w:r>
      <w:r>
        <w:t xml:space="preserve">header value</w:t>
      </w:r>
    </w:p>
    <w:p>
      <w:pPr>
        <w:numPr>
          <w:ilvl w:val="0"/>
          <w:numId w:val="1003"/>
        </w:numPr>
        <w:pStyle w:val="Compact"/>
      </w:pPr>
      <w:r>
        <w:t xml:space="preserve">If they don’t match, the webhook is rejected with HTTP 401</w:t>
      </w:r>
    </w:p>
    <w:p>
      <w:pPr>
        <w:pStyle w:val="FirstParagraph"/>
      </w:pPr>
      <w:r>
        <w:rPr>
          <w:bCs/>
          <w:b/>
        </w:rPr>
        <w:t xml:space="preserve">Important:</w:t>
      </w:r>
      <w:r>
        <w:t xml:space="preserve"> </w:t>
      </w:r>
      <w:r>
        <w:t xml:space="preserve">Use timing-safe comparison to prevent timing attacks.</w:t>
      </w:r>
    </w:p>
    <w:bookmarkEnd w:id="25"/>
    <w:bookmarkStart w:id="26"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numPr>
          <w:ilvl w:val="0"/>
          <w:numId w:val="1004"/>
        </w:numPr>
        <w:pStyle w:val="Compact"/>
      </w:pPr>
      <w:r>
        <w:rPr>
          <w:bCs/>
          <w:b/>
        </w:rPr>
        <w:t xml:space="preserve">3 consecutive failures</w:t>
      </w:r>
      <w:r>
        <w:t xml:space="preserve"> </w:t>
      </w:r>
      <w:r>
        <w:t xml:space="preserve">— Circuit opens. New orders cascade to fax (Tier 4).</w:t>
      </w:r>
    </w:p>
    <w:p>
      <w:pPr>
        <w:numPr>
          <w:ilvl w:val="0"/>
          <w:numId w:val="1004"/>
        </w:numPr>
        <w:pStyle w:val="Compact"/>
      </w:pPr>
      <w:r>
        <w:rPr>
          <w:bCs/>
          <w:b/>
        </w:rPr>
        <w:t xml:space="preserve">5-minute cooldown</w:t>
      </w:r>
      <w:r>
        <w:t xml:space="preserve"> </w:t>
      </w:r>
      <w:r>
        <w:t xml:space="preserve">— After 5 minutes, we send 1 test order to check recovery.</w:t>
      </w:r>
    </w:p>
    <w:p>
      <w:pPr>
        <w:numPr>
          <w:ilvl w:val="0"/>
          <w:numId w:val="1004"/>
        </w:numPr>
        <w:pStyle w:val="Compact"/>
      </w:pPr>
      <w:r>
        <w:rPr>
          <w:bCs/>
          <w:b/>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26"/>
    <w:bookmarkEnd w:id="27"/>
    <w:bookmarkStart w:id="32"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28" w:name="endpoints-you-need-to-implement"/>
    <w:p>
      <w:pPr>
        <w:pStyle w:val="Heading3"/>
      </w:pPr>
      <w:r>
        <w:t xml:space="preserve">Endpoints You Need to Implement</w:t>
      </w:r>
    </w:p>
    <w:tbl>
      <w:tblPr>
        <w:tblStyle w:val="Table"/>
        <w:tblW w:type="pct" w:w="5000"/>
        <w:tblLook w:firstRow="1" w:lastRow="0" w:firstColumn="0" w:lastColumn="0" w:noHBand="0" w:noVBand="0" w:val="0020"/>
        <w:jc w:val="start"/>
      </w:tblPr>
      <w:tblGrid>
        <w:gridCol w:w="2346"/>
        <w:gridCol w:w="2933"/>
        <w:gridCol w:w="2640"/>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r>
      <w:tr>
        <w:tc>
          <w:tcPr/>
          <w:p>
            <w:pPr>
              <w:pStyle w:val="Compact"/>
              <w:jc w:val="left"/>
            </w:pPr>
            <w:r>
              <w:rPr>
                <w:rStyle w:val="VerbatimChar"/>
              </w:rPr>
              <w:t xml:space="preserve">POST /orders</w:t>
            </w:r>
          </w:p>
        </w:tc>
        <w:tc>
          <w:tcPr/>
          <w:p>
            <w:pPr>
              <w:pStyle w:val="Compact"/>
              <w:jc w:val="left"/>
            </w:pPr>
            <w:r>
              <w:t xml:space="preserve">Receive a new prescription order</w:t>
            </w:r>
          </w:p>
        </w:tc>
        <w:tc>
          <w:tcPr/>
          <w:p>
            <w:pPr>
              <w:pStyle w:val="Compact"/>
              <w:jc w:val="left"/>
            </w:pPr>
            <w:r>
              <w:t xml:space="preserve">Accept the order payload (same format as Tier 1 above)</w:t>
            </w:r>
          </w:p>
        </w:tc>
      </w:tr>
      <w:tr>
        <w:tc>
          <w:tcPr/>
          <w:p>
            <w:pPr>
              <w:pStyle w:val="Compact"/>
              <w:jc w:val="left"/>
            </w:pPr>
            <w:r>
              <w:rPr>
                <w:rStyle w:val="VerbatimChar"/>
              </w:rPr>
              <w:t xml:space="preserve">GET /orders/{order_id}</w:t>
            </w:r>
          </w:p>
        </w:tc>
        <w:tc>
          <w:tcPr/>
          <w:p>
            <w:pPr>
              <w:pStyle w:val="Compact"/>
              <w:jc w:val="left"/>
            </w:pPr>
            <w:r>
              <w:t xml:space="preserve">Return current order status</w:t>
            </w:r>
          </w:p>
        </w:tc>
        <w:tc>
          <w:tcPr/>
          <w:p>
            <w:pPr>
              <w:pStyle w:val="Compact"/>
              <w:jc w:val="left"/>
            </w:pPr>
            <w:r>
              <w:t xml:space="preserve">We poll this if webhooks are not configured</w:t>
            </w:r>
          </w:p>
        </w:tc>
      </w:tr>
      <w:tr>
        <w:tc>
          <w:tcPr/>
          <w:p>
            <w:pPr>
              <w:pStyle w:val="Compact"/>
              <w:jc w:val="left"/>
            </w:pPr>
            <w:r>
              <w:rPr>
                <w:rStyle w:val="VerbatimChar"/>
              </w:rPr>
              <w:t xml:space="preserve">POST /orders/{order_id}/cancel</w:t>
            </w:r>
          </w:p>
        </w:tc>
        <w:tc>
          <w:tcPr/>
          <w:p>
            <w:pPr>
              <w:pStyle w:val="Compact"/>
              <w:jc w:val="left"/>
            </w:pPr>
            <w:r>
              <w:t xml:space="preserve">Cancel a pending order</w:t>
            </w:r>
          </w:p>
        </w:tc>
        <w:tc>
          <w:tcPr/>
          <w:p>
            <w:pPr>
              <w:pStyle w:val="Compact"/>
              <w:jc w:val="left"/>
            </w:pPr>
            <w:r>
              <w:t xml:space="preserve">We send this if the clinic cancels before fulfillment</w:t>
            </w:r>
          </w:p>
        </w:tc>
      </w:tr>
      <w:tr>
        <w:tc>
          <w:tcPr/>
          <w:p>
            <w:pPr>
              <w:pStyle w:val="Compact"/>
              <w:jc w:val="left"/>
            </w:pPr>
            <w:r>
              <w:rPr>
                <w:rStyle w:val="VerbatimChar"/>
              </w:rPr>
              <w:t xml:space="preserve">GET /health</w:t>
            </w:r>
          </w:p>
        </w:tc>
        <w:tc>
          <w:tcPr/>
          <w:p>
            <w:pPr>
              <w:pStyle w:val="Compact"/>
              <w:jc w:val="left"/>
            </w:pPr>
            <w:r>
              <w:t xml:space="preserve">Health check</w:t>
            </w:r>
          </w:p>
        </w:tc>
        <w:tc>
          <w:tcPr/>
          <w:p>
            <w:pPr>
              <w:pStyle w:val="Compact"/>
              <w:jc w:val="left"/>
            </w:pPr>
            <w:r>
              <w:t xml:space="preserve">We ping this every 10 minutes to monitor your API status</w:t>
            </w:r>
          </w:p>
        </w:tc>
      </w:tr>
    </w:tbl>
    <w:bookmarkEnd w:id="28"/>
    <w:bookmarkStart w:id="29"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29"/>
    <w:bookmarkStart w:id="30"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30"/>
    <w:bookmarkStart w:id="31"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31"/>
    <w:bookmarkEnd w:id="32"/>
    <w:bookmarkStart w:id="36" w:name="testing-your-integration"/>
    <w:p>
      <w:pPr>
        <w:pStyle w:val="Heading2"/>
      </w:pPr>
      <w:r>
        <w:t xml:space="preserve">Testing Your Integration</w:t>
      </w:r>
    </w:p>
    <w:bookmarkStart w:id="33"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Cs/>
          <w:b/>
        </w:rPr>
        <w:t xml:space="preserve">Staging URL:</w:t>
      </w:r>
      <w:r>
        <w:t xml:space="preserve"> </w:t>
      </w:r>
      <w:r>
        <w:rPr>
          <w:rStyle w:val="VerbatimChar"/>
        </w:rPr>
        <w:t xml:space="preserve">https://staging.compoundiq.com</w:t>
      </w:r>
      <w:r>
        <w:t xml:space="preserve"> </w:t>
      </w:r>
      <w:r>
        <w:t xml:space="preserve">-</w:t>
      </w:r>
      <w:r>
        <w:t xml:space="preserve"> </w:t>
      </w:r>
      <w:r>
        <w:rPr>
          <w:bCs/>
          <w:b/>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Cs/>
          <w:b/>
        </w:rPr>
        <w:t xml:space="preserve">Test orders</w:t>
      </w:r>
      <w:r>
        <w:t xml:space="preserve"> </w:t>
      </w:r>
      <w:r>
        <w:t xml:space="preserve">use synthetic patient data — no real PHI</w:t>
      </w:r>
    </w:p>
    <w:bookmarkEnd w:id="33"/>
    <w:bookmarkStart w:id="34" w:name="validation-checklist"/>
    <w:p>
      <w:pPr>
        <w:pStyle w:val="Heading3"/>
      </w:pPr>
      <w:r>
        <w:t xml:space="preserve">Validation Checklist</w:t>
      </w:r>
    </w:p>
    <w:p>
      <w:pPr>
        <w:pStyle w:val="FirstParagraph"/>
      </w:pPr>
      <w:r>
        <w:t xml:space="preserve">Before going live, both teams should verify:</w:t>
      </w:r>
    </w:p>
    <w:p>
      <w:pPr>
        <w:numPr>
          <w:ilvl w:val="0"/>
          <w:numId w:val="1005"/>
        </w:numPr>
        <w:pStyle w:val="Compact"/>
      </w:pPr>
      <w:r>
        <w:t xml:space="preserve">☐ Order submission succeeds (HTTP 200/201 response)</w:t>
      </w:r>
    </w:p>
    <w:p>
      <w:pPr>
        <w:numPr>
          <w:ilvl w:val="0"/>
          <w:numId w:val="1005"/>
        </w:numPr>
        <w:pStyle w:val="Compact"/>
      </w:pPr>
      <w:r>
        <w:t xml:space="preserve">☐ Order acknowledgment webhook fires and is received by CompoundIQ</w:t>
      </w:r>
    </w:p>
    <w:p>
      <w:pPr>
        <w:numPr>
          <w:ilvl w:val="0"/>
          <w:numId w:val="1005"/>
        </w:numPr>
        <w:pStyle w:val="Compact"/>
      </w:pPr>
      <w:r>
        <w:t xml:space="preserve">☐ Order rejection webhook fires with a reason code</w:t>
      </w:r>
    </w:p>
    <w:p>
      <w:pPr>
        <w:numPr>
          <w:ilvl w:val="0"/>
          <w:numId w:val="1005"/>
        </w:numPr>
        <w:pStyle w:val="Compact"/>
      </w:pPr>
      <w:r>
        <w:t xml:space="preserve">☐ Shipping webhook fires with tracking number</w:t>
      </w:r>
    </w:p>
    <w:p>
      <w:pPr>
        <w:numPr>
          <w:ilvl w:val="0"/>
          <w:numId w:val="1005"/>
        </w:numPr>
        <w:pStyle w:val="Compact"/>
      </w:pPr>
      <w:r>
        <w:t xml:space="preserve">☐ Webhook signature verification passes</w:t>
      </w:r>
    </w:p>
    <w:p>
      <w:pPr>
        <w:numPr>
          <w:ilvl w:val="0"/>
          <w:numId w:val="1005"/>
        </w:numPr>
        <w:pStyle w:val="Compact"/>
      </w:pPr>
      <w:r>
        <w:t xml:space="preserve">☐ Circuit breaker trips and recovers correctly (simulate 3 failures, then recovery)</w:t>
      </w:r>
    </w:p>
    <w:p>
      <w:pPr>
        <w:numPr>
          <w:ilvl w:val="0"/>
          <w:numId w:val="1005"/>
        </w:numPr>
        <w:pStyle w:val="Compact"/>
      </w:pPr>
      <w:r>
        <w:t xml:space="preserve">☐ Duplicate webhook delivery is handled (same event_id sent twice — only processed once)</w:t>
      </w:r>
    </w:p>
    <w:p>
      <w:pPr>
        <w:numPr>
          <w:ilvl w:val="0"/>
          <w:numId w:val="1005"/>
        </w:numPr>
        <w:pStyle w:val="Compact"/>
      </w:pPr>
      <w:r>
        <w:t xml:space="preserve">☐ Error responses include meaningful codes and messages</w:t>
      </w:r>
    </w:p>
    <w:bookmarkEnd w:id="34"/>
    <w:bookmarkStart w:id="35" w:name="go-live-checklist"/>
    <w:p>
      <w:pPr>
        <w:pStyle w:val="Heading3"/>
      </w:pPr>
      <w:r>
        <w:t xml:space="preserve">Go-Live Checklist</w:t>
      </w:r>
    </w:p>
    <w:p>
      <w:pPr>
        <w:numPr>
          <w:ilvl w:val="0"/>
          <w:numId w:val="1006"/>
        </w:numPr>
        <w:pStyle w:val="Compact"/>
      </w:pPr>
      <w:r>
        <w:t xml:space="preserve">☐ Production API credentials stored in CompoundIQ Vault</w:t>
      </w:r>
    </w:p>
    <w:p>
      <w:pPr>
        <w:numPr>
          <w:ilvl w:val="0"/>
          <w:numId w:val="1006"/>
        </w:numPr>
        <w:pStyle w:val="Compact"/>
      </w:pPr>
      <w:r>
        <w:t xml:space="preserve">☐ Production webhook signing secret exchanged securely</w:t>
      </w:r>
    </w:p>
    <w:p>
      <w:pPr>
        <w:numPr>
          <w:ilvl w:val="0"/>
          <w:numId w:val="1006"/>
        </w:numPr>
        <w:pStyle w:val="Compact"/>
      </w:pPr>
      <w:r>
        <w:t xml:space="preserve">☐ IP allowlisting configured (optional but recommended)</w:t>
      </w:r>
    </w:p>
    <w:p>
      <w:pPr>
        <w:numPr>
          <w:ilvl w:val="0"/>
          <w:numId w:val="1006"/>
        </w:numPr>
        <w:pStyle w:val="Compact"/>
      </w:pPr>
      <w:r>
        <w:t xml:space="preserve">☐ Rate limits agreed upon (default: 60 requests/minute)</w:t>
      </w:r>
    </w:p>
    <w:p>
      <w:pPr>
        <w:numPr>
          <w:ilvl w:val="0"/>
          <w:numId w:val="1006"/>
        </w:numPr>
        <w:pStyle w:val="Compact"/>
      </w:pPr>
      <w:r>
        <w:t xml:space="preserve">☐ Escalation contacts exchanged (technical + operations)</w:t>
      </w:r>
    </w:p>
    <w:p>
      <w:pPr>
        <w:numPr>
          <w:ilvl w:val="0"/>
          <w:numId w:val="1006"/>
        </w:numPr>
        <w:pStyle w:val="Compact"/>
      </w:pPr>
      <w:r>
        <w:t xml:space="preserve">☐ Monitoring configured on both sides</w:t>
      </w:r>
    </w:p>
    <w:p>
      <w:r>
        <w:pict>
          <v:rect style="width:0;height:1.5pt" o:hralign="center" o:hrstd="t" o:hr="t"/>
        </w:pict>
      </w:r>
    </w:p>
    <w:bookmarkEnd w:id="35"/>
    <w:bookmarkEnd w:id="36"/>
    <w:bookmarkStart w:id="40" w:name="data-privacy-compliance"/>
    <w:p>
      <w:pPr>
        <w:pStyle w:val="Heading2"/>
      </w:pPr>
      <w:r>
        <w:t xml:space="preserve">Data Privacy &amp; Compliance</w:t>
      </w:r>
    </w:p>
    <w:bookmarkStart w:id="37"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37"/>
    <w:bookmarkStart w:id="38" w:name="what-we-expect"/>
    <w:p>
      <w:pPr>
        <w:pStyle w:val="Heading3"/>
      </w:pPr>
      <w:r>
        <w:t xml:space="preserve">What We Expect</w:t>
      </w:r>
    </w:p>
    <w:p>
      <w:pPr>
        <w:numPr>
          <w:ilvl w:val="0"/>
          <w:numId w:val="1007"/>
        </w:numPr>
        <w:pStyle w:val="Compact"/>
      </w:pPr>
      <w:r>
        <w:t xml:space="preserve">All API endpoints must use HTTPS (TLS 1.2+)</w:t>
      </w:r>
    </w:p>
    <w:p>
      <w:pPr>
        <w:numPr>
          <w:ilvl w:val="0"/>
          <w:numId w:val="1007"/>
        </w:numPr>
        <w:pStyle w:val="Compact"/>
      </w:pPr>
      <w:r>
        <w:t xml:space="preserve">Patient data must not be logged in plain text on your end</w:t>
      </w:r>
    </w:p>
    <w:p>
      <w:pPr>
        <w:numPr>
          <w:ilvl w:val="0"/>
          <w:numId w:val="1007"/>
        </w:numPr>
        <w:pStyle w:val="Compact"/>
      </w:pPr>
      <w:r>
        <w:t xml:space="preserve">Webhook payloads should contain the minimum PHI necessary for the event</w:t>
      </w:r>
    </w:p>
    <w:p>
      <w:pPr>
        <w:numPr>
          <w:ilvl w:val="0"/>
          <w:numId w:val="1007"/>
        </w:numPr>
        <w:pStyle w:val="Compact"/>
      </w:pPr>
      <w:r>
        <w:t xml:space="preserve">Credentials must be rotated at minimum every 180 days</w:t>
      </w:r>
    </w:p>
    <w:bookmarkEnd w:id="38"/>
    <w:bookmarkStart w:id="39"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39"/>
    <w:bookmarkEnd w:id="40"/>
    <w:bookmarkStart w:id="41" w:name="support-contacts"/>
    <w:p>
      <w:pPr>
        <w:pStyle w:val="Heading2"/>
      </w:pPr>
      <w:r>
        <w:t xml:space="preserve">Support &amp; Contacts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Contact</w:t>
            </w:r>
          </w:p>
        </w:tc>
      </w:tr>
      <w:tr>
        <w:tc>
          <w:tcPr/>
          <w:p>
            <w:pPr>
              <w:pStyle w:val="Compact"/>
              <w:jc w:val="left"/>
            </w:pPr>
            <w:r>
              <w:t xml:space="preserve">Integration technical support</w:t>
            </w:r>
          </w:p>
        </w:tc>
        <w:tc>
          <w:tcPr/>
          <w:p>
            <w:pPr>
              <w:pStyle w:val="Compact"/>
              <w:jc w:val="left"/>
            </w:pPr>
            <w:r>
              <w:t xml:space="preserve">integration@compoundiq.com</w:t>
            </w:r>
          </w:p>
        </w:tc>
      </w:tr>
      <w:tr>
        <w:tc>
          <w:tcPr/>
          <w:p>
            <w:pPr>
              <w:pStyle w:val="Compact"/>
              <w:jc w:val="left"/>
            </w:pPr>
            <w:r>
              <w:t xml:space="preserve">API credentials and secrets</w:t>
            </w:r>
          </w:p>
        </w:tc>
        <w:tc>
          <w:tcPr/>
          <w:p>
            <w:pPr>
              <w:pStyle w:val="Compact"/>
              <w:jc w:val="left"/>
            </w:pPr>
            <w:r>
              <w:t xml:space="preserve">security@compoundiq.com</w:t>
            </w:r>
          </w:p>
        </w:tc>
      </w:tr>
      <w:tr>
        <w:tc>
          <w:tcPr/>
          <w:p>
            <w:pPr>
              <w:pStyle w:val="Compact"/>
              <w:jc w:val="left"/>
            </w:pPr>
            <w:r>
              <w:t xml:space="preserve">Operations escalation</w:t>
            </w:r>
          </w:p>
        </w:tc>
        <w:tc>
          <w:tcPr/>
          <w:p>
            <w:pPr>
              <w:pStyle w:val="Compact"/>
              <w:jc w:val="left"/>
            </w:pPr>
            <w:r>
              <w:t xml:space="preserve">ops@compoundiq.com</w:t>
            </w:r>
          </w:p>
        </w:tc>
      </w:tr>
      <w:tr>
        <w:tc>
          <w:tcPr/>
          <w:p>
            <w:pPr>
              <w:pStyle w:val="Compact"/>
              <w:jc w:val="left"/>
            </w:pPr>
            <w:r>
              <w:t xml:space="preserve">BAA and legal</w:t>
            </w:r>
          </w:p>
        </w:tc>
        <w:tc>
          <w:tcPr/>
          <w:p>
            <w:pPr>
              <w:pStyle w:val="Compact"/>
              <w:jc w:val="left"/>
            </w:pPr>
            <w:r>
              <w:t xml:space="preserve">legal@compoundiq.com</w:t>
            </w:r>
          </w:p>
        </w:tc>
      </w:tr>
    </w:tbl>
    <w:p>
      <w:r>
        <w:pict>
          <v:rect style="width:0;height:1.5pt" o:hralign="center" o:hrstd="t" o:hr="t"/>
        </w:pict>
      </w:r>
    </w:p>
    <w:p>
      <w:pPr>
        <w:pStyle w:val="FirstParagraph"/>
      </w:pPr>
      <w:r>
        <w:rPr>
          <w:iCs/>
          <w:i/>
        </w:rPr>
        <w:t xml:space="preserve">CompoundIQ — Structured orders. Real-time tracking. No more faxes.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2026-09-14T05:00:51Z</dcterms:created>
  <dcterms:modified xsi:type="dcterms:W3CDTF">2026-09-14T05:00:51Z</dcterms:modified>
</cp:coreProperties>
</file>

<file path=docProps/custom.xml><?xml version="1.0" encoding="utf-8"?>
<Properties xmlns="http://schemas.openxmlformats.org/officeDocument/2006/custom-properties" xmlns:vt="http://schemas.openxmlformats.org/officeDocument/2006/docPropsVTypes"/>
</file>