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2.1 |</w:t>
      </w:r>
      <w:r>
        <w:t xml:space="preserve"> </w:t>
      </w:r>
      <w:r>
        <w:rPr>
          <w:b/>
          <w:bCs/>
        </w:rPr>
        <w:t xml:space="preserve">Date:</w:t>
      </w:r>
      <w:r>
        <w:t xml:space="preserve"> </w:t>
      </w:r>
      <w:r>
        <w:t xml:space="preserve">April 21,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pPr>
        <w:pStyle w:val="BlockText"/>
      </w:pPr>
      <w:r>
        <w:rPr>
          <w:b/>
          <w:bCs/>
        </w:rPr>
        <w:t xml:space="preserve">What’s new in v2.1 (2026-04-21):</w:t>
      </w:r>
      <w:r>
        <w:t xml:space="preserve"> </w:t>
      </w:r>
      <w:r>
        <w:t xml:space="preserve">E2E test suite refresh campaign complete — every critical user flow (auth, cascading builder, checkout, ops, feature flags) is now gated on 65 passing Playwright tests + 6 jest unit tests that block merges to main. HIPAA idle-timeout state machine covered by dedicated unit tests. Signature canvas coverage split by layer (Option Z). Every merge to main is now backed by a full green CI pipeline. See the repo’s</w:t>
      </w:r>
      <w:r>
        <w:t xml:space="preserve"> </w:t>
      </w:r>
      <w:r>
        <w:rPr>
          <w:rStyle w:val="VerbatimChar"/>
        </w:rPr>
        <w:t xml:space="preserve">STATUS.md</w:t>
      </w:r>
      <w:r>
        <w:t xml:space="preserve"> </w:t>
      </w:r>
      <w:r>
        <w:t xml:space="preserve">for the full PR ledger.</w:t>
      </w:r>
    </w:p>
    <w:p>
      <w:r>
        <w:pict>
          <v:rect style="width:0;height:1.5pt" o:hralign="center" o:hrstd="t" o:hr="t"/>
        </w:pict>
      </w:r>
    </w:p>
    <w:bookmarkStart w:id="11" w:name="pre-demo-setup-5-minutes-before"/>
    <w:p>
      <w:pPr>
        <w:pStyle w:val="Heading2"/>
      </w:pPr>
      <w:r>
        <w:t xml:space="preserve">Pre-Demo Setup (5 minutes before)</w:t>
      </w:r>
    </w:p>
    <w:p>
      <w:pPr>
        <w:pStyle w:val="Compact"/>
        <w:numPr>
          <w:ilvl w:val="0"/>
          <w:numId w:val="1001"/>
        </w:numPr>
      </w:pPr>
      <w:r>
        <w:rPr>
          <w:b/>
          <w:bCs/>
        </w:rPr>
        <w:t xml:space="preserve">Sync credentials:</w:t>
      </w:r>
      <w:r>
        <w:t xml:space="preserve"> </w:t>
      </w:r>
      <w:r>
        <w:t xml:space="preserve">Run</w:t>
      </w:r>
      <w:r>
        <w:t xml:space="preserve"> </w:t>
      </w:r>
      <w:r>
        <w:rPr>
          <w:rStyle w:val="VerbatimChar"/>
        </w:rPr>
        <w:t xml:space="preserve">npm run seed:poc</w:t>
      </w:r>
      <w:r>
        <w:t xml:space="preserve"> </w:t>
      </w:r>
      <w:r>
        <w:t xml:space="preserve">to ensure all passwords match documented values</w:t>
      </w:r>
    </w:p>
    <w:p>
      <w:pPr>
        <w:pStyle w:val="Compact"/>
        <w:numPr>
          <w:ilvl w:val="0"/>
          <w:numId w:val="1001"/>
        </w:numPr>
      </w:pPr>
      <w:r>
        <w:rPr>
          <w:b/>
          <w:bCs/>
        </w:rPr>
        <w:t xml:space="preserve">Verify health:</w:t>
      </w:r>
      <w:r>
        <w:t xml:space="preserve"> </w:t>
      </w:r>
      <w:r>
        <w:t xml:space="preserve">Open</w:t>
      </w:r>
      <w:r>
        <w:t xml:space="preserve"> </w:t>
      </w:r>
      <w:r>
        <w:rPr>
          <w:rStyle w:val="VerbatimChar"/>
        </w:rPr>
        <w:t xml:space="preserve">https://functional-medicine-infrastructure.vercel.app/api/health</w:t>
      </w:r>
      <w:r>
        <w:t xml:space="preserve"> </w:t>
      </w:r>
      <w:r>
        <w:t xml:space="preserve">— should return</w:t>
      </w:r>
      <w:r>
        <w:t xml:space="preserve"> </w:t>
      </w:r>
      <w:r>
        <w:rPr>
          <w:rStyle w:val="VerbatimChar"/>
        </w:rPr>
        <w:t xml:space="preserve">{"status":"ok"}</w:t>
      </w:r>
    </w:p>
    <w:p>
      <w:pPr>
        <w:pStyle w:val="Compact"/>
        <w:numPr>
          <w:ilvl w:val="0"/>
          <w:numId w:val="1001"/>
        </w:numPr>
      </w:pPr>
      <w:r>
        <w:rPr>
          <w:b/>
          <w:bCs/>
        </w:rPr>
        <w:t xml:space="preserve">Open browser tabs:</w:t>
      </w:r>
      <w:r>
        <w:t xml:space="preserve"> </w:t>
      </w:r>
      <w:r>
        <w:t xml:space="preserve">Prepare 3 tabs — one for clinic app, one for ops dashboard, one for patient checkout</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01"/>
        </w:numPr>
      </w:pPr>
      <w:r>
        <w:rPr>
          <w:b/>
          <w:bCs/>
        </w:rPr>
        <w:t xml:space="preserve">Mobile device (optional):</w:t>
      </w:r>
      <w:r>
        <w:t xml:space="preserve"> </w:t>
      </w:r>
      <w:r>
        <w:t xml:space="preserve">Have a phone ready to show the checkout page on a real mobile browser</w:t>
      </w:r>
    </w:p>
    <w:bookmarkStart w:id="9"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p>
      <w:pPr>
        <w:pStyle w:val="BlockText"/>
      </w:pPr>
      <w:r>
        <w:rPr>
          <w:b/>
          <w:bCs/>
        </w:rPr>
        <w:t xml:space="preserve">If a password above doesn’t work</w:t>
      </w:r>
      <w:r>
        <w:t xml:space="preserve"> </w:t>
      </w:r>
      <w:r>
        <w:t xml:space="preserve">(credential drift after a Supabase rotation, manual reset, etc.):</w:t>
      </w:r>
    </w:p>
    <w:p>
      <w:pPr>
        <w:pStyle w:val="Compact"/>
        <w:numPr>
          <w:ilvl w:val="0"/>
          <w:numId w:val="1002"/>
        </w:numPr>
      </w:pPr>
      <w:r>
        <w:rPr>
          <w:b/>
          <w:bCs/>
        </w:rPr>
        <w:t xml:space="preserve">In-app fix:</w:t>
      </w:r>
      <w:r>
        <w:t xml:space="preserve"> </w:t>
      </w:r>
      <w:r>
        <w:t xml:space="preserve">log in as ops, go to</w:t>
      </w:r>
      <w:r>
        <w:t xml:space="preserve"> </w:t>
      </w:r>
      <w:r>
        <w:rPr>
          <w:rStyle w:val="VerbatimChar"/>
        </w:rPr>
        <w:t xml:space="preserve">/ops/demo-tools</w:t>
      </w:r>
      <w:r>
        <w:t xml:space="preserve">, click</w:t>
      </w:r>
      <w:r>
        <w:t xml:space="preserve"> </w:t>
      </w:r>
      <w:r>
        <w:rPr>
          <w:b/>
          <w:bCs/>
        </w:rPr>
        <w:t xml:space="preserve">Reset Demo Credentials</w:t>
      </w:r>
      <w:r>
        <w:t xml:space="preserve">. All four accounts are forced back to the canonical passwords above.</w:t>
      </w:r>
    </w:p>
    <w:p>
      <w:pPr>
        <w:pStyle w:val="Compact"/>
        <w:numPr>
          <w:ilvl w:val="0"/>
          <w:numId w:val="1002"/>
        </w:numPr>
      </w:pPr>
      <w:r>
        <w:rPr>
          <w:b/>
          <w:bCs/>
        </w:rPr>
        <w:t xml:space="preserve">Locked out of ops too:</w:t>
      </w:r>
      <w:r>
        <w:t xml:space="preserve"> </w:t>
      </w:r>
      <w:r>
        <w:t xml:space="preserve">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Same effect, no terminal required.</w:t>
      </w:r>
    </w:p>
    <w:p>
      <w:pPr>
        <w:pStyle w:val="Compact"/>
        <w:numPr>
          <w:ilvl w:val="0"/>
          <w:numId w:val="1002"/>
        </w:numPr>
      </w:pPr>
      <w:r>
        <w:t xml:space="preserve">The cron also runs automatically every day at 5 AM UTC, so drift never persists more than 24 hours unattended.</w:t>
      </w:r>
    </w:p>
    <w:bookmarkEnd w:id="9"/>
    <w:bookmarkStart w:id="10" w:name="poc-seed-data"/>
    <w:p>
      <w:pPr>
        <w:pStyle w:val="Heading3"/>
      </w:pPr>
      <w:r>
        <w:t xml:space="preserve">POC Seed Data</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Pharmacy</w:t>
            </w:r>
          </w:p>
        </w:tc>
        <w:tc>
          <w:tcPr/>
          <w:p>
            <w:pPr>
              <w:pStyle w:val="Compact"/>
            </w:pPr>
            <w:r>
              <w:t xml:space="preserve">Strive Pharmacy, Tier 4 (Fax), TX licensed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0"/>
    <w:bookmarkEnd w:id="11"/>
    <w:bookmarkStart w:id="12"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2"/>
    <w:bookmarkStart w:id="15" w:name="part-2-login-authentication-3-minutes"/>
    <w:p>
      <w:pPr>
        <w:pStyle w:val="Heading2"/>
      </w:pPr>
      <w:r>
        <w:t xml:space="preserve">Part 2: Login &amp; Authentication (3 minutes)</w:t>
      </w:r>
    </w:p>
    <w:bookmarkStart w:id="13" w:name="show-the-login-page"/>
    <w:p>
      <w:pPr>
        <w:pStyle w:val="Heading3"/>
      </w:pPr>
      <w:r>
        <w:t xml:space="preserve">Show the Login Page</w:t>
      </w:r>
    </w:p>
    <w:p>
      <w:pPr>
        <w:pStyle w:val="Compact"/>
        <w:numPr>
          <w:ilvl w:val="0"/>
          <w:numId w:val="1003"/>
        </w:numPr>
      </w:pPr>
      <w:r>
        <w:t xml:space="preserve">Navigate to</w:t>
      </w:r>
      <w:r>
        <w:t xml:space="preserve"> </w:t>
      </w:r>
      <w:r>
        <w:rPr>
          <w:rStyle w:val="VerbatimChar"/>
        </w:rPr>
        <w:t xml:space="preserve">https://functional-medicine-infrastructure.vercel.app/login</w:t>
      </w:r>
    </w:p>
    <w:p>
      <w:pPr>
        <w:pStyle w:val="Compact"/>
        <w:numPr>
          <w:ilvl w:val="0"/>
          <w:numId w:val="1003"/>
        </w:numPr>
      </w:pPr>
      <w:r>
        <w:rPr>
          <w:b/>
          <w:bCs/>
        </w:rPr>
        <w:t xml:space="preserve">Point out:</w:t>
      </w:r>
    </w:p>
    <w:p>
      <w:pPr>
        <w:pStyle w:val="Compact"/>
        <w:numPr>
          <w:ilvl w:val="1"/>
          <w:numId w:val="1004"/>
        </w:numPr>
      </w:pPr>
      <w:r>
        <w:t xml:space="preserve">Dark gradient background with CompoundIQ branding</w:t>
      </w:r>
    </w:p>
    <w:p>
      <w:pPr>
        <w:pStyle w:val="Compact"/>
        <w:numPr>
          <w:ilvl w:val="1"/>
          <w:numId w:val="1004"/>
        </w:numPr>
      </w:pPr>
      <w:r>
        <w:t xml:space="preserve">Clean, modern design (Geist font, Tailwind CSS design system)</w:t>
      </w:r>
    </w:p>
    <w:p>
      <w:pPr>
        <w:pStyle w:val="Compact"/>
        <w:numPr>
          <w:ilvl w:val="1"/>
          <w:numId w:val="1004"/>
        </w:numPr>
      </w:pPr>
      <w:r>
        <w:t xml:space="preserve">HIPAA badge indicating healthcare-grade security</w:t>
      </w:r>
    </w:p>
    <w:p>
      <w:pPr>
        <w:pStyle w:val="Compact"/>
        <w:numPr>
          <w:ilvl w:val="1"/>
          <w:numId w:val="1004"/>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3"/>
    <w:bookmarkStart w:id="14" w:name="demonstrate-role-based-routing"/>
    <w:p>
      <w:pPr>
        <w:pStyle w:val="Heading3"/>
      </w:pPr>
      <w:r>
        <w:t xml:space="preserve">Demonstrate Role-Based Routing</w:t>
      </w:r>
    </w:p>
    <w:p>
      <w:pPr>
        <w:pStyle w:val="Compact"/>
        <w:numPr>
          <w:ilvl w:val="0"/>
          <w:numId w:val="1005"/>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6"/>
        </w:numPr>
      </w:pPr>
      <w:r>
        <w:t xml:space="preserve">Sign out</w:t>
      </w:r>
    </w:p>
    <w:p>
      <w:pPr>
        <w:pStyle w:val="Compact"/>
        <w:numPr>
          <w:ilvl w:val="0"/>
          <w:numId w:val="1006"/>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6"/>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7"/>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7"/>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8"/>
        </w:numPr>
      </w:pPr>
      <w:r>
        <w:t xml:space="preserve">Sign out</w:t>
      </w:r>
    </w:p>
    <w:p>
      <w:r>
        <w:pict>
          <v:rect style="width:0;height:1.5pt" o:hralign="center" o:hrstd="t" o:hr="t"/>
        </w:pict>
      </w:r>
    </w:p>
    <w:bookmarkEnd w:id="14"/>
    <w:bookmarkEnd w:id="15"/>
    <w:bookmarkStart w:id="24" w:name="part-3-the-clinic-workflow-1520-minutes"/>
    <w:p>
      <w:pPr>
        <w:pStyle w:val="Heading2"/>
      </w:pPr>
      <w:r>
        <w:t xml:space="preserve">Part 3: The Clinic Workflow (15–20 minutes)</w:t>
      </w:r>
    </w:p>
    <w:bookmarkStart w:id="16" w:name="a-dashboard-overview"/>
    <w:p>
      <w:pPr>
        <w:pStyle w:val="Heading3"/>
      </w:pPr>
      <w:r>
        <w:t xml:space="preserve">3A — Dashboard Overview</w:t>
      </w:r>
    </w:p>
    <w:p>
      <w:pPr>
        <w:pStyle w:val="Compact"/>
        <w:numPr>
          <w:ilvl w:val="0"/>
          <w:numId w:val="1009"/>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9"/>
        </w:numPr>
      </w:pPr>
      <w:r>
        <w:rPr>
          <w:b/>
          <w:bCs/>
        </w:rPr>
        <w:t xml:space="preserve">Point out the dashboard:</w:t>
      </w:r>
    </w:p>
    <w:p>
      <w:pPr>
        <w:pStyle w:val="Compact"/>
        <w:numPr>
          <w:ilvl w:val="1"/>
          <w:numId w:val="1010"/>
        </w:numPr>
      </w:pPr>
      <w:r>
        <w:t xml:space="preserve">KPI cards at top (Total Orders, Revenue, Pending Payment, Completed)</w:t>
      </w:r>
    </w:p>
    <w:p>
      <w:pPr>
        <w:pStyle w:val="Compact"/>
        <w:numPr>
          <w:ilvl w:val="1"/>
          <w:numId w:val="1010"/>
        </w:numPr>
      </w:pPr>
      <w:r>
        <w:t xml:space="preserve">Order table with status badges (colored pills showing order state)</w:t>
      </w:r>
    </w:p>
    <w:p>
      <w:pPr>
        <w:pStyle w:val="Compact"/>
        <w:numPr>
          <w:ilvl w:val="1"/>
          <w:numId w:val="1010"/>
        </w:numPr>
      </w:pPr>
      <w:r>
        <w:t xml:space="preserve">Table/Kanban toggle in the top right</w:t>
      </w:r>
    </w:p>
    <w:p>
      <w:pPr>
        <w:pStyle w:val="Compact"/>
        <w:numPr>
          <w:ilvl w:val="0"/>
          <w:numId w:val="1009"/>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1"/>
        </w:numPr>
      </w:pPr>
      <w:r>
        <w:rPr>
          <w:b/>
          <w:bCs/>
        </w:rPr>
        <w:t xml:space="preserve">Point out the sidebar:</w:t>
      </w:r>
    </w:p>
    <w:p>
      <w:pPr>
        <w:pStyle w:val="Compact"/>
        <w:numPr>
          <w:ilvl w:val="1"/>
          <w:numId w:val="1012"/>
        </w:numPr>
      </w:pPr>
      <w:r>
        <w:t xml:space="preserve">Navigation links with icons</w:t>
      </w:r>
    </w:p>
    <w:p>
      <w:pPr>
        <w:pStyle w:val="Compact"/>
        <w:numPr>
          <w:ilvl w:val="1"/>
          <w:numId w:val="1012"/>
        </w:numPr>
      </w:pPr>
      <w:r>
        <w:t xml:space="preserve">Active page highlighted</w:t>
      </w:r>
    </w:p>
    <w:p>
      <w:pPr>
        <w:pStyle w:val="Compact"/>
        <w:numPr>
          <w:ilvl w:val="1"/>
          <w:numId w:val="1012"/>
        </w:numPr>
      </w:pPr>
      <w:r>
        <w:t xml:space="preserve">User info and role badge at the bottom</w:t>
      </w:r>
    </w:p>
    <w:p>
      <w:pPr>
        <w:pStyle w:val="Compact"/>
        <w:numPr>
          <w:ilvl w:val="0"/>
          <w:numId w:val="1011"/>
        </w:numPr>
      </w:pPr>
      <w:r>
        <w:t xml:space="preserve">Click the</w:t>
      </w:r>
      <w:r>
        <w:t xml:space="preserve"> </w:t>
      </w:r>
      <w:r>
        <w:rPr>
          <w:b/>
          <w:bCs/>
        </w:rPr>
        <w:t xml:space="preserve">collapse button</w:t>
      </w:r>
      <w:r>
        <w:t xml:space="preserve"> </w:t>
      </w:r>
      <w:r>
        <w:t xml:space="preserve">(chevron) on the sidebar — show it collapses to icon-only mode, click again to re-expand</w:t>
      </w:r>
    </w:p>
    <w:p>
      <w:pPr>
        <w:pStyle w:val="BlockText"/>
      </w:pPr>
      <w:r>
        <w:t xml:space="preserve">“The sidebar collapses for more screen real estate. The main content area adjusts automatically.”</w:t>
      </w:r>
    </w:p>
    <w:bookmarkEnd w:id="16"/>
    <w:bookmarkStart w:id="17" w:name="X4da94081b50c640a1e576428d4a30f3f544fe5a"/>
    <w:p>
      <w:pPr>
        <w:pStyle w:val="Heading3"/>
      </w:pPr>
      <w:r>
        <w:t xml:space="preserve">3B — Patient &amp; Provider Selection (New in Phase 15)</w:t>
      </w:r>
    </w:p>
    <w:p>
      <w:pPr>
        <w:pStyle w:val="Compact"/>
        <w:numPr>
          <w:ilvl w:val="0"/>
          <w:numId w:val="1013"/>
        </w:numPr>
      </w:pPr>
      <w:r>
        <w:t xml:space="preserve">Click</w:t>
      </w:r>
      <w:r>
        <w:t xml:space="preserve"> </w:t>
      </w:r>
      <w:r>
        <w:rPr>
          <w:b/>
          <w:bCs/>
        </w:rPr>
        <w:t xml:space="preserve">“+ New Prescription”</w:t>
      </w:r>
      <w:r>
        <w:t xml:space="preserve"> </w:t>
      </w:r>
      <w:r>
        <w:t xml:space="preserve">button</w:t>
      </w:r>
    </w:p>
    <w:p>
      <w:pPr>
        <w:pStyle w:val="Compact"/>
        <w:numPr>
          <w:ilvl w:val="0"/>
          <w:numId w:val="1013"/>
        </w:numPr>
      </w:pPr>
      <w:r>
        <w:rPr>
          <w:b/>
          <w:bCs/>
        </w:rPr>
        <w:t xml:space="preserve">Point out the patient/provider selector page:</w:t>
      </w:r>
    </w:p>
    <w:p>
      <w:pPr>
        <w:pStyle w:val="Compact"/>
        <w:numPr>
          <w:ilvl w:val="1"/>
          <w:numId w:val="1014"/>
        </w:numPr>
      </w:pPr>
      <w:r>
        <w:t xml:space="preserve">Patient search with name filter</w:t>
      </w:r>
    </w:p>
    <w:p>
      <w:pPr>
        <w:pStyle w:val="Compact"/>
        <w:numPr>
          <w:ilvl w:val="1"/>
          <w:numId w:val="1014"/>
        </w:numPr>
      </w:pPr>
      <w:r>
        <w:t xml:space="preserve">Provider auto-selected (only one provider in this clinic)</w:t>
      </w:r>
    </w:p>
    <w:p>
      <w:pPr>
        <w:pStyle w:val="Compact"/>
        <w:numPr>
          <w:ilvl w:val="1"/>
          <w:numId w:val="1014"/>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5"/>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5"/>
        </w:numPr>
      </w:pPr>
      <w:r>
        <w:t xml:space="preserve">Note the provider</w:t>
      </w:r>
      <w:r>
        <w:t xml:space="preserve"> </w:t>
      </w:r>
      <w:r>
        <w:rPr>
          <w:b/>
          <w:bCs/>
        </w:rPr>
        <w:t xml:space="preserve">Sarah Chen</w:t>
      </w:r>
      <w:r>
        <w:t xml:space="preserve"> </w:t>
      </w:r>
      <w:r>
        <w:t xml:space="preserve">is auto-selected</w:t>
      </w:r>
    </w:p>
    <w:p>
      <w:pPr>
        <w:pStyle w:val="Compact"/>
        <w:numPr>
          <w:ilvl w:val="0"/>
          <w:numId w:val="1015"/>
        </w:numPr>
      </w:pPr>
      <w:r>
        <w:t xml:space="preserve">Click</w:t>
      </w:r>
      <w:r>
        <w:t xml:space="preserve"> </w:t>
      </w:r>
      <w:r>
        <w:rPr>
          <w:b/>
          <w:bCs/>
        </w:rPr>
        <w:t xml:space="preserve">“Continue to Pharmacy Search”</w:t>
      </w:r>
    </w:p>
    <w:bookmarkEnd w:id="17"/>
    <w:bookmarkStart w:id="18" w:name="Xa6621a959da8794ec82063a81ca579b35b7faab"/>
    <w:p>
      <w:pPr>
        <w:pStyle w:val="Heading3"/>
      </w:pPr>
      <w:r>
        <w:t xml:space="preserve">3C — Quick Actions: Favorites + Protocols (New in Phase 18)</w:t>
      </w:r>
    </w:p>
    <w:p>
      <w:pPr>
        <w:pStyle w:val="Compact"/>
        <w:numPr>
          <w:ilvl w:val="0"/>
          <w:numId w:val="1016"/>
        </w:numPr>
      </w:pPr>
      <w:r>
        <w:rPr>
          <w:b/>
          <w:bCs/>
        </w:rPr>
        <w:t xml:space="preserve">Point out the session banner</w:t>
      </w:r>
      <w:r>
        <w:t xml:space="preserve"> </w:t>
      </w:r>
      <w:r>
        <w:t xml:space="preserve">at the top — Alex Demo + Sarah Chen pinned</w:t>
      </w:r>
    </w:p>
    <w:p>
      <w:pPr>
        <w:pStyle w:val="Compact"/>
        <w:numPr>
          <w:ilvl w:val="0"/>
          <w:numId w:val="1016"/>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6"/>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7"/>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7"/>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7"/>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8"/>
    <w:bookmarkStart w:id="19" w:name="Xb5840cf837e2859a3f664b030817a540ff74a59"/>
    <w:p>
      <w:pPr>
        <w:pStyle w:val="Heading3"/>
      </w:pPr>
      <w:r>
        <w:t xml:space="preserve">3D — Cascading Prescription Builder (New in Phase 17)</w:t>
      </w:r>
    </w:p>
    <w:p>
      <w:pPr>
        <w:pStyle w:val="Compact"/>
        <w:numPr>
          <w:ilvl w:val="0"/>
          <w:numId w:val="1018"/>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8"/>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8"/>
        </w:numPr>
      </w:pPr>
      <w:r>
        <w:t xml:space="preserve">Select the formulation →</w:t>
      </w:r>
      <w:r>
        <w:t xml:space="preserve"> </w:t>
      </w:r>
      <w:r>
        <w:rPr>
          <w:b/>
          <w:bCs/>
        </w:rPr>
        <w:t xml:space="preserve">Point out the Structured Sig Builder</w:t>
      </w:r>
      <w:r>
        <w:t xml:space="preserve">:</w:t>
      </w:r>
    </w:p>
    <w:p>
      <w:pPr>
        <w:pStyle w:val="Compact"/>
        <w:numPr>
          <w:ilvl w:val="1"/>
          <w:numId w:val="1019"/>
        </w:numPr>
      </w:pPr>
      <w:r>
        <w:t xml:space="preserve">Dose amount + unit + frequency dropdowns</w:t>
      </w:r>
    </w:p>
    <w:p>
      <w:pPr>
        <w:pStyle w:val="Compact"/>
        <w:numPr>
          <w:ilvl w:val="1"/>
          <w:numId w:val="1019"/>
        </w:numPr>
      </w:pPr>
      <w:r>
        <w:t xml:space="preserve">Timing dropdown (In the morning, At bedtime, etc.)</w:t>
      </w:r>
    </w:p>
    <w:p>
      <w:pPr>
        <w:pStyle w:val="Compact"/>
        <w:numPr>
          <w:ilvl w:val="1"/>
          <w:numId w:val="1019"/>
        </w:numPr>
      </w:pPr>
      <w:r>
        <w:t xml:space="preserve">Duration dropdown (For 30 days, Ongoing, etc.)</w:t>
      </w:r>
    </w:p>
    <w:p>
      <w:pPr>
        <w:pStyle w:val="Compact"/>
        <w:numPr>
          <w:ilvl w:val="1"/>
          <w:numId w:val="1019"/>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8"/>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8"/>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20"/>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1"/>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1"/>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2"/>
        </w:numPr>
      </w:pPr>
      <w:r>
        <w:t xml:space="preserve">Click</w:t>
      </w:r>
      <w:r>
        <w:t xml:space="preserve"> </w:t>
      </w:r>
      <w:r>
        <w:rPr>
          <w:b/>
          <w:bCs/>
        </w:rPr>
        <w:t xml:space="preserve">“Continue — Set Retail Price”</w:t>
      </w:r>
    </w:p>
    <w:bookmarkEnd w:id="19"/>
    <w:bookmarkStart w:id="20" w:name="X36406df0f3e9712c5d5ede6ae50514f3e8ed030"/>
    <w:p>
      <w:pPr>
        <w:pStyle w:val="Heading3"/>
      </w:pPr>
      <w:r>
        <w:t xml:space="preserve">3E — Dynamic Margin Builder + Multi-Prescription</w:t>
      </w:r>
    </w:p>
    <w:p>
      <w:pPr>
        <w:pStyle w:val="Compact"/>
        <w:numPr>
          <w:ilvl w:val="0"/>
          <w:numId w:val="1023"/>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3"/>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4"/>
        </w:numPr>
      </w:pPr>
      <w:r>
        <w:rPr>
          <w:b/>
          <w:bCs/>
        </w:rPr>
        <w:t xml:space="preserve">Point out the three action buttons:</w:t>
      </w:r>
    </w:p>
    <w:p>
      <w:pPr>
        <w:pStyle w:val="Compact"/>
        <w:numPr>
          <w:ilvl w:val="1"/>
          <w:numId w:val="1025"/>
        </w:numPr>
      </w:pPr>
      <w:r>
        <w:rPr>
          <w:b/>
          <w:bCs/>
        </w:rPr>
        <w:t xml:space="preserve">“Add &amp; Search Another”</w:t>
      </w:r>
      <w:r>
        <w:t xml:space="preserve"> </w:t>
      </w:r>
      <w:r>
        <w:t xml:space="preserve">— add this prescription and search for another medication</w:t>
      </w:r>
    </w:p>
    <w:p>
      <w:pPr>
        <w:pStyle w:val="Compact"/>
        <w:numPr>
          <w:ilvl w:val="1"/>
          <w:numId w:val="1025"/>
        </w:numPr>
      </w:pPr>
      <w:r>
        <w:rPr>
          <w:b/>
          <w:bCs/>
        </w:rPr>
        <w:t xml:space="preserve">“Review &amp; Send”</w:t>
      </w:r>
      <w:r>
        <w:t xml:space="preserve"> </w:t>
      </w:r>
      <w:r>
        <w:t xml:space="preserve">— go to batch review with all prescriptions</w:t>
      </w:r>
    </w:p>
    <w:p>
      <w:pPr>
        <w:pStyle w:val="Compact"/>
        <w:numPr>
          <w:ilvl w:val="1"/>
          <w:numId w:val="1025"/>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6"/>
        </w:numPr>
      </w:pPr>
      <w:r>
        <w:t xml:space="preserve">Click</w:t>
      </w:r>
      <w:r>
        <w:t xml:space="preserve"> </w:t>
      </w:r>
      <w:r>
        <w:rPr>
          <w:b/>
          <w:bCs/>
        </w:rPr>
        <w:t xml:space="preserve">“Add &amp; Search Another”</w:t>
      </w:r>
    </w:p>
    <w:p>
      <w:pPr>
        <w:numPr>
          <w:ilvl w:val="0"/>
          <w:numId w:val="1026"/>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6"/>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6"/>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6"/>
        </w:numPr>
      </w:pPr>
      <w:r>
        <w:t xml:space="preserve">Select Strive Pharmacy, set retail price, click</w:t>
      </w:r>
      <w:r>
        <w:t xml:space="preserve"> </w:t>
      </w:r>
      <w:r>
        <w:rPr>
          <w:b/>
          <w:bCs/>
        </w:rPr>
        <w:t xml:space="preserve">“Review &amp; Send (2)”</w:t>
      </w:r>
    </w:p>
    <w:bookmarkEnd w:id="20"/>
    <w:bookmarkStart w:id="21" w:name="Xaca1764a3bd2632ace4b2a541efb2ce97884cdd"/>
    <w:p>
      <w:pPr>
        <w:pStyle w:val="Heading3"/>
      </w:pPr>
      <w:r>
        <w:t xml:space="preserve">3F — Batch Review, Interaction Alerts &amp; EPCS 2FA (New in Phase 19)</w:t>
      </w:r>
    </w:p>
    <w:p>
      <w:pPr>
        <w:pStyle w:val="Compact"/>
        <w:numPr>
          <w:ilvl w:val="0"/>
          <w:numId w:val="1027"/>
        </w:numPr>
      </w:pPr>
      <w:r>
        <w:rPr>
          <w:b/>
          <w:bCs/>
        </w:rPr>
        <w:t xml:space="preserve">Point out the batch review page:</w:t>
      </w:r>
    </w:p>
    <w:p>
      <w:pPr>
        <w:pStyle w:val="Compact"/>
        <w:numPr>
          <w:ilvl w:val="1"/>
          <w:numId w:val="1028"/>
        </w:numPr>
      </w:pPr>
      <w:r>
        <w:t xml:space="preserve">DEA schedule badges on controlled substance prescription cards (Testosterone shows Schedule 3)</w:t>
      </w:r>
    </w:p>
    <w:p>
      <w:pPr>
        <w:pStyle w:val="Compact"/>
        <w:numPr>
          <w:ilvl w:val="1"/>
          <w:numId w:val="1028"/>
        </w:numPr>
      </w:pPr>
      <w:r>
        <w:rPr>
          <w:b/>
          <w:bCs/>
        </w:rPr>
        <w:t xml:space="preserve">Drug Interaction Alerts section</w:t>
      </w:r>
      <w:r>
        <w:t xml:space="preserve"> </w:t>
      </w:r>
      <w:r>
        <w:t xml:space="preserve">— the alerts are dynamic based on the medications in the current session. With Semaglutide + Testosterone (this walkthrough), an INFO-severity alert appears with clinical guidance. With Ketotifen + Ketamine (a different combination), an amber WARNING alert appears. The exact alert text depends on which pairs are seeded in the</w:t>
      </w:r>
      <w:r>
        <w:t xml:space="preserve"> </w:t>
      </w:r>
      <w:r>
        <w:rPr>
          <w:rStyle w:val="VerbatimChar"/>
        </w:rPr>
        <w:t xml:space="preserve">drug_interactions</w:t>
      </w:r>
      <w:r>
        <w:t xml:space="preserve"> </w:t>
      </w:r>
      <w:r>
        <w:t xml:space="preserve">table.</w:t>
      </w:r>
    </w:p>
    <w:p>
      <w:pPr>
        <w:pStyle w:val="Compact"/>
        <w:numPr>
          <w:ilvl w:val="1"/>
          <w:numId w:val="1028"/>
        </w:numPr>
      </w:pPr>
      <w:r>
        <w:t xml:space="preserve">Session banner with</w:t>
      </w:r>
      <w:r>
        <w:t xml:space="preserve"> </w:t>
      </w:r>
      <w:r>
        <w:t xml:space="preserve">“2 prescriptions in this session”</w:t>
      </w:r>
    </w:p>
    <w:p>
      <w:pPr>
        <w:pStyle w:val="Compact"/>
        <w:numPr>
          <w:ilvl w:val="1"/>
          <w:numId w:val="1028"/>
        </w:numPr>
      </w:pPr>
      <w:r>
        <w:t xml:space="preserve">Two prescription cards with medication, pharmacy, pricing, and sig for each</w:t>
      </w:r>
    </w:p>
    <w:p>
      <w:pPr>
        <w:pStyle w:val="Compact"/>
        <w:numPr>
          <w:ilvl w:val="1"/>
          <w:numId w:val="1028"/>
        </w:numPr>
      </w:pPr>
      <w:r>
        <w:t xml:space="preserve">Combined totals (total retail, platform fee, total clinic payout)</w:t>
      </w:r>
    </w:p>
    <w:p>
      <w:pPr>
        <w:pStyle w:val="Compact"/>
        <w:numPr>
          <w:ilvl w:val="1"/>
          <w:numId w:val="1028"/>
        </w:numPr>
      </w:pPr>
      <w:r>
        <w:t xml:space="preserve">“Remove”</w:t>
      </w:r>
      <w:r>
        <w:t xml:space="preserve"> </w:t>
      </w:r>
      <w:r>
        <w:t xml:space="preserve">link on each card</w:t>
      </w:r>
    </w:p>
    <w:p>
      <w:pPr>
        <w:pStyle w:val="Compact"/>
        <w:numPr>
          <w:ilvl w:val="1"/>
          <w:numId w:val="1028"/>
        </w:numPr>
      </w:pPr>
      <w:r>
        <w:t xml:space="preserve">“+ Add Another Prescription”</w:t>
      </w:r>
      <w:r>
        <w:t xml:space="preserve"> </w:t>
      </w:r>
      <w:r>
        <w:t xml:space="preserve">button</w:t>
      </w:r>
    </w:p>
    <w:p>
      <w:pPr>
        <w:pStyle w:val="Compact"/>
        <w:numPr>
          <w:ilvl w:val="1"/>
          <w:numId w:val="1028"/>
        </w:numPr>
      </w:pPr>
      <w:r>
        <w:t xml:space="preserve">Single provider signature pad</w:t>
      </w:r>
    </w:p>
    <w:p>
      <w:pPr>
        <w:pStyle w:val="BlockText"/>
      </w:pPr>
      <w:r>
        <w:t xml:space="preserve">“The system automatically detects drug interactions and surfaces them with clinical guidance — severity-colored: red for critical, amber for warning, blue for informational. DEA-scheduled compounds are flagged on the prescription card with schedule badges.”</w:t>
      </w:r>
    </w:p>
    <w:p>
      <w:pPr>
        <w:pStyle w:val="Compact"/>
        <w:numPr>
          <w:ilvl w:val="0"/>
          <w:numId w:val="1029"/>
        </w:numPr>
      </w:pPr>
      <w:r>
        <w:rPr>
          <w:b/>
          <w:bCs/>
        </w:rPr>
        <w:t xml:space="preserve">Sign</w:t>
      </w:r>
      <w:r>
        <w:t xml:space="preserve"> </w:t>
      </w:r>
      <w:r>
        <w:t xml:space="preserve">on the signature pad</w:t>
      </w:r>
    </w:p>
    <w:p>
      <w:pPr>
        <w:pStyle w:val="Compact"/>
        <w:numPr>
          <w:ilvl w:val="0"/>
          <w:numId w:val="1029"/>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w:t>
      </w:r>
    </w:p>
    <w:p>
      <w:pPr>
        <w:pStyle w:val="Compact"/>
        <w:numPr>
          <w:ilvl w:val="0"/>
          <w:numId w:val="1029"/>
        </w:numPr>
      </w:pPr>
      <w:r>
        <w:t xml:space="preserve">Verify redirect to dashboard — both orders visible as</w:t>
      </w:r>
      <w:r>
        <w:t xml:space="preserve"> </w:t>
      </w:r>
      <w:r>
        <w:t xml:space="preserve">“Awaiting Payment”</w:t>
      </w:r>
    </w:p>
    <w:p>
      <w:pPr>
        <w:pStyle w:val="BlockText"/>
      </w:pPr>
      <w:r>
        <w:rPr>
          <w:b/>
          <w:bCs/>
        </w:rPr>
        <w:t xml:space="preserve">EPCS 2FA Demo Tip:</w:t>
      </w:r>
      <w:r>
        <w:t xml:space="preserve"> </w:t>
      </w:r>
      <w:r>
        <w:t xml:space="preserve">The EPCS 2FA modal (QR code, 6-digit TOTP input, DEA 21 CFR 1311 citation) is triggered from the single-prescription favorites flow when a controlled substance is selected. To demo it: start a new session, use a Favorites card for a controlled substance (e.g. Testosterone), go through the margin builder, and click</w:t>
      </w:r>
      <w:r>
        <w:t xml:space="preserve"> </w:t>
      </w:r>
      <w:r>
        <w:t xml:space="preserve">“Review &amp; Send”</w:t>
      </w:r>
      <w:r>
        <w:t xml:space="preserve"> </w:t>
      </w:r>
      <w:r>
        <w:t xml:space="preserve">→</w:t>
      </w:r>
      <w:r>
        <w:t xml:space="preserve"> </w:t>
      </w:r>
      <w:r>
        <w:t xml:space="preserve">“Sign &amp; Send”</w:t>
      </w:r>
      <w:r>
        <w:t xml:space="preserve"> </w:t>
      </w:r>
      <w:r>
        <w:t xml:space="preserve">→</w:t>
      </w:r>
      <w:r>
        <w:t xml:space="preserve"> </w:t>
      </w:r>
      <w:r>
        <w:t xml:space="preserve">“Confirm &amp; Send”</w:t>
      </w:r>
      <w:r>
        <w:t xml:space="preserve">. The modal appears with the red</w:t>
      </w:r>
      <w:r>
        <w:t xml:space="preserve"> </w:t>
      </w:r>
      <w:r>
        <w:t xml:space="preserve">“EPCS Two-Factor Authentication Required”</w:t>
      </w:r>
      <w:r>
        <w:t xml:space="preserve"> </w:t>
      </w:r>
      <w:r>
        <w:t xml:space="preserve">header, Schedule badge, QR code for authenticator app enrollment, and</w:t>
      </w:r>
      <w:r>
        <w:t xml:space="preserve"> </w:t>
      </w:r>
      <w:r>
        <w:t xml:space="preserve">“Verify &amp; Sign”</w:t>
      </w:r>
      <w:r>
        <w:t xml:space="preserve"> </w:t>
      </w:r>
      <w:r>
        <w:t xml:space="preserve">/</w:t>
      </w:r>
      <w:r>
        <w:t xml:space="preserve"> </w:t>
      </w:r>
      <w:r>
        <w:t xml:space="preserve">“Cancel”</w:t>
      </w:r>
      <w:r>
        <w:t xml:space="preserve"> </w:t>
      </w:r>
      <w:r>
        <w:t xml:space="preserve">buttons. Cancel to exit without submitting a code.</w:t>
      </w:r>
    </w:p>
    <w:p>
      <w:pPr>
        <w:pStyle w:val="BlockText"/>
      </w:pPr>
      <w:r>
        <w:t xml:space="preserve">“Two orders created, two payment links generated, three SLA timers each — all from one signature. The MA’s workflow for a multi-medication visit: 45 seconds.”</w:t>
      </w:r>
    </w:p>
    <w:bookmarkEnd w:id="21"/>
    <w:bookmarkStart w:id="22"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30"/>
        </w:numPr>
      </w:pPr>
      <w:r>
        <w:t xml:space="preserve">Click</w:t>
      </w:r>
      <w:r>
        <w:t xml:space="preserve"> </w:t>
      </w:r>
      <w:r>
        <w:rPr>
          <w:b/>
          <w:bCs/>
        </w:rPr>
        <w:t xml:space="preserve">“+ New Prescription”</w:t>
      </w:r>
      <w:r>
        <w:t xml:space="preserve"> </w:t>
      </w:r>
      <w:r>
        <w:t xml:space="preserve">again</w:t>
      </w:r>
    </w:p>
    <w:p>
      <w:pPr>
        <w:pStyle w:val="Compact"/>
        <w:numPr>
          <w:ilvl w:val="0"/>
          <w:numId w:val="1030"/>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30"/>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30"/>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30"/>
        </w:numPr>
      </w:pPr>
      <w:r>
        <w:t xml:space="preserve">Click</w:t>
      </w:r>
      <w:r>
        <w:t xml:space="preserve"> </w:t>
      </w:r>
      <w:r>
        <w:rPr>
          <w:b/>
          <w:bCs/>
        </w:rPr>
        <w:t xml:space="preserve">“Save as Draft — Provider Signs Later”</w:t>
      </w:r>
    </w:p>
    <w:p>
      <w:pPr>
        <w:pStyle w:val="Compact"/>
        <w:numPr>
          <w:ilvl w:val="0"/>
          <w:numId w:val="1030"/>
        </w:numPr>
      </w:pPr>
      <w:r>
        <w:t xml:space="preserve">Verify redirect to dashboard —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1"/>
        </w:numPr>
      </w:pPr>
      <w:r>
        <w:rPr>
          <w:b/>
          <w:bCs/>
        </w:rPr>
        <w:t xml:space="preserve">Sign out</w:t>
      </w:r>
      <w:r>
        <w:t xml:space="preserve"> </w:t>
      </w:r>
      <w:r>
        <w:t xml:space="preserve">of clinic admin</w:t>
      </w:r>
    </w:p>
    <w:p>
      <w:pPr>
        <w:pStyle w:val="Compact"/>
        <w:numPr>
          <w:ilvl w:val="0"/>
          <w:numId w:val="1031"/>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1"/>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2"/>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2"/>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2"/>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3"/>
        </w:numPr>
      </w:pPr>
      <w:r>
        <w:rPr>
          <w:b/>
          <w:bCs/>
        </w:rPr>
        <w:t xml:space="preserve">Sign out</w:t>
      </w:r>
    </w:p>
    <w:bookmarkEnd w:id="22"/>
    <w:bookmarkStart w:id="23" w:name="g-get-the-checkout-url"/>
    <w:p>
      <w:pPr>
        <w:pStyle w:val="Heading3"/>
      </w:pPr>
      <w:r>
        <w:t xml:space="preserve">3G — Get the Checkout URL</w:t>
      </w:r>
    </w:p>
    <w:p>
      <w:pPr>
        <w:pStyle w:val="Compact"/>
        <w:numPr>
          <w:ilvl w:val="0"/>
          <w:numId w:val="1034"/>
        </w:numPr>
      </w:pPr>
      <w:r>
        <w:rPr>
          <w:b/>
          <w:bCs/>
        </w:rPr>
        <w:t xml:space="preserve">Get the patient checkout URL</w:t>
      </w:r>
      <w:r>
        <w:t xml:space="preserve"> </w:t>
      </w:r>
      <w:r>
        <w:t xml:space="preserve">— In production, the patient receives this via SMS. For the POC demo:</w:t>
      </w:r>
    </w:p>
    <w:p>
      <w:pPr>
        <w:pStyle w:val="SourceCode"/>
      </w:pPr>
      <w:r>
        <w:rPr>
          <w:rStyle w:val="ExtensionTok"/>
        </w:rPr>
        <w:t xml:space="preserve">npx</w:t>
      </w:r>
      <w:r>
        <w:rPr>
          <w:rStyle w:val="NormalTok"/>
        </w:rPr>
        <w:t xml:space="preserve"> dotenv </w:t>
      </w:r>
      <w:r>
        <w:rPr>
          <w:rStyle w:val="AttributeTok"/>
        </w:rPr>
        <w:t xml:space="preserve">-e</w:t>
      </w:r>
      <w:r>
        <w:rPr>
          <w:rStyle w:val="NormalTok"/>
        </w:rPr>
        <w:t xml:space="preserve"> .env.local </w:t>
      </w:r>
      <w:r>
        <w:rPr>
          <w:rStyle w:val="AttributeTok"/>
        </w:rPr>
        <w:t xml:space="preserve">--</w:t>
      </w:r>
      <w:r>
        <w:rPr>
          <w:rStyle w:val="NormalTok"/>
        </w:rPr>
        <w:t xml:space="preserve"> npx tsx scripts/get-checkout-url.ts</w:t>
      </w:r>
    </w:p>
    <w:p>
      <w:pPr>
        <w:pStyle w:val="FirstParagraph"/>
      </w:pPr>
      <w:r>
        <w:t xml:space="preserve">Copy the URL from the output.</w:t>
      </w:r>
    </w:p>
    <w:p>
      <w:pPr>
        <w:pStyle w:val="BlockText"/>
      </w:pPr>
      <w:r>
        <w:t xml:space="preserve">“In production, the patient gets this link in a text message. They tap it on their phone and land directly on checkout.”</w:t>
      </w:r>
    </w:p>
    <w:p>
      <w:r>
        <w:pict>
          <v:rect style="width:0;height:1.5pt" o:hralign="center" o:hrstd="t" o:hr="t"/>
        </w:pict>
      </w:r>
    </w:p>
    <w:bookmarkEnd w:id="23"/>
    <w:bookmarkEnd w:id="24"/>
    <w:bookmarkStart w:id="29" w:name="part-4-patient-checkout-57-minutes"/>
    <w:p>
      <w:pPr>
        <w:pStyle w:val="Heading2"/>
      </w:pPr>
      <w:r>
        <w:t xml:space="preserve">Part 4: Patient Checkout (5–7 minutes)</w:t>
      </w:r>
    </w:p>
    <w:bookmarkStart w:id="25" w:name="a-checkout-page"/>
    <w:p>
      <w:pPr>
        <w:pStyle w:val="Heading3"/>
      </w:pPr>
      <w:r>
        <w:t xml:space="preserve">4A — Checkout Page</w:t>
      </w:r>
    </w:p>
    <w:p>
      <w:pPr>
        <w:pStyle w:val="Compact"/>
        <w:numPr>
          <w:ilvl w:val="0"/>
          <w:numId w:val="1035"/>
        </w:numPr>
      </w:pPr>
      <w:r>
        <w:t xml:space="preserve">Open the</w:t>
      </w:r>
      <w:r>
        <w:t xml:space="preserve"> </w:t>
      </w:r>
      <w:r>
        <w:rPr>
          <w:b/>
          <w:bCs/>
        </w:rPr>
        <w:t xml:space="preserve">checkout URL</w:t>
      </w:r>
      <w:r>
        <w:t xml:space="preserve"> </w:t>
      </w:r>
      <w:r>
        <w:t xml:space="preserve">from Step 53 in a new tab (or on a mobile device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t xml:space="preserve">Stripe Elements payment form (card, Apple Pay, Google Pay options)</w:t>
      </w:r>
    </w:p>
    <w:p>
      <w:pPr>
        <w:pStyle w:val="Compact"/>
        <w:numPr>
          <w:ilvl w:val="1"/>
          <w:numId w:val="1036"/>
        </w:numPr>
      </w:pPr>
      <w:r>
        <w:t xml:space="preserve">Email field (required for receipt)</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5"/>
    <w:bookmarkStart w:id="26" w:name="b-complete-payment"/>
    <w:p>
      <w:pPr>
        <w:pStyle w:val="Heading3"/>
      </w:pPr>
      <w:r>
        <w:t xml:space="preserve">4B — Complete Payment</w:t>
      </w:r>
    </w:p>
    <w:p>
      <w:pPr>
        <w:pStyle w:val="Compact"/>
        <w:numPr>
          <w:ilvl w:val="0"/>
          <w:numId w:val="1038"/>
        </w:numPr>
      </w:pPr>
      <w:r>
        <w:t xml:space="preserve">Enter email:</w:t>
      </w:r>
      <w:r>
        <w:t xml:space="preserve"> </w:t>
      </w:r>
      <w:r>
        <w:rPr>
          <w:rStyle w:val="VerbatimChar"/>
        </w:rPr>
        <w:t xml:space="preserve">test@example.com</w:t>
      </w:r>
    </w:p>
    <w:p>
      <w:pPr>
        <w:pStyle w:val="Compact"/>
        <w:numPr>
          <w:ilvl w:val="0"/>
          <w:numId w:val="1038"/>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6"/>
    <w:bookmarkStart w:id="27"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7"/>
    <w:bookmarkStart w:id="28"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8"/>
    <w:bookmarkEnd w:id="29"/>
    <w:bookmarkStart w:id="35" w:name="part-5-ops-dashboard-710-minutes"/>
    <w:p>
      <w:pPr>
        <w:pStyle w:val="Heading2"/>
      </w:pPr>
      <w:r>
        <w:t xml:space="preserve">Part 5: Ops Dashboard (7–10 minutes)</w:t>
      </w:r>
    </w:p>
    <w:bookmarkStart w:id="30"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0"/>
    <w:bookmarkStart w:id="31"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sidebar</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1"/>
    <w:bookmarkStart w:id="32"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sidebar</w:t>
      </w:r>
    </w:p>
    <w:p>
      <w:pPr>
        <w:pStyle w:val="Compact"/>
        <w:numPr>
          <w:ilvl w:val="0"/>
          <w:numId w:val="1054"/>
        </w:numPr>
      </w:pPr>
      <w:r>
        <w:rPr>
          <w:b/>
          <w:bCs/>
        </w:rPr>
        <w:t xml:space="preserve">Point out:</w:t>
      </w:r>
    </w:p>
    <w:p>
      <w:pPr>
        <w:pStyle w:val="Compact"/>
        <w:numPr>
          <w:ilvl w:val="1"/>
          <w:numId w:val="1055"/>
        </w:numPr>
      </w:pPr>
      <w:r>
        <w:t xml:space="preserve">Per-pharmacy health card (Strive Pharmacy)</w:t>
      </w:r>
    </w:p>
    <w:p>
      <w:pPr>
        <w:pStyle w:val="Compact"/>
        <w:numPr>
          <w:ilvl w:val="1"/>
          <w:numId w:val="1055"/>
        </w:numPr>
      </w:pPr>
      <w:r>
        <w:t xml:space="preserve">Health indicator (traffic light)</w:t>
      </w:r>
    </w:p>
    <w:p>
      <w:pPr>
        <w:pStyle w:val="Compact"/>
        <w:numPr>
          <w:ilvl w:val="1"/>
          <w:numId w:val="1055"/>
        </w:numPr>
      </w:pPr>
      <w:r>
        <w:t xml:space="preserve">Circuit breaker state</w:t>
      </w:r>
    </w:p>
    <w:p>
      <w:pPr>
        <w:pStyle w:val="Compact"/>
        <w:numPr>
          <w:ilvl w:val="1"/>
          <w:numId w:val="1055"/>
        </w:numPr>
      </w:pPr>
      <w:r>
        <w:t xml:space="preserve">Submission success rate chart</w:t>
      </w:r>
    </w:p>
    <w:p>
      <w:pPr>
        <w:pStyle w:val="Compact"/>
        <w:numPr>
          <w:ilvl w:val="1"/>
          <w:numId w:val="1055"/>
        </w:numPr>
      </w:pPr>
      <w:r>
        <w:t xml:space="preserve">Quick action button (Disable Adapter)</w:t>
      </w:r>
    </w:p>
    <w:p>
      <w:pPr>
        <w:pStyle w:val="BlockText"/>
      </w:pPr>
      <w:r>
        <w:t xml:space="preserve">“Every pharmacy integration is monitored. If a pharmacy’s API starts failing, the circuit breaker opens after 3 consecutive failures and auto-cascades to the next tier. The ops team can see exactly what’s happening and take manual action if needed.”</w:t>
      </w:r>
    </w:p>
    <w:bookmarkEnd w:id="32"/>
    <w:bookmarkStart w:id="33"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w:t>
      </w:r>
      <w:r>
        <w:t xml:space="preserve"> </w:t>
      </w:r>
      <w:r>
        <w:t xml:space="preserve">in the sidebar</w:t>
      </w:r>
    </w:p>
    <w:p>
      <w:pPr>
        <w:pStyle w:val="Compact"/>
        <w:numPr>
          <w:ilvl w:val="0"/>
          <w:numId w:val="1056"/>
        </w:numPr>
      </w:pPr>
      <w:r>
        <w:rPr>
          <w:b/>
          <w:bCs/>
        </w:rPr>
        <w:t xml:space="preserve">Point out:</w:t>
      </w:r>
    </w:p>
    <w:p>
      <w:pPr>
        <w:pStyle w:val="Compact"/>
        <w:numPr>
          <w:ilvl w:val="1"/>
          <w:numId w:val="1057"/>
        </w:numPr>
      </w:pPr>
      <w:r>
        <w:t xml:space="preserve">Status filter pills (All, Received, Matched, Unmatched, Processed, Archived)</w:t>
      </w:r>
    </w:p>
    <w:p>
      <w:pPr>
        <w:pStyle w:val="Compact"/>
        <w:numPr>
          <w:ilvl w:val="1"/>
          <w:numId w:val="1057"/>
        </w:numPr>
      </w:pPr>
      <w:r>
        <w:t xml:space="preserve">Queue metrics</w:t>
      </w:r>
    </w:p>
    <w:p>
      <w:pPr>
        <w:pStyle w:val="Compact"/>
        <w:numPr>
          <w:ilvl w:val="1"/>
          <w:numId w:val="1057"/>
        </w:numPr>
      </w:pPr>
      <w:r>
        <w:t xml:space="preserve">Empty state if no faxes pending</w:t>
      </w:r>
    </w:p>
    <w:p>
      <w:pPr>
        <w:pStyle w:val="BlockText"/>
      </w:pPr>
      <w:r>
        <w:t xml:space="preserve">“Tier 4 pharmacies respond via fax. Inbound faxes land here with OCR text preview. Ops matches the fax to an order and assigns a disposition — Acknowledge, Reject, Query, or Unrelated. Tier 1 and 2 pharmacies skip this entirely because their responses come via API.”</w:t>
      </w:r>
    </w:p>
    <w:bookmarkEnd w:id="33"/>
    <w:bookmarkStart w:id="34"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sidebar</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4"/>
    <w:bookmarkEnd w:id="35"/>
    <w:bookmarkStart w:id="39" w:name="X27570dffca2ddc5ec18f24291aec74d220817ad"/>
    <w:p>
      <w:pPr>
        <w:pStyle w:val="Heading2"/>
      </w:pPr>
      <w:r>
        <w:t xml:space="preserve">Part 6: Architecture Highlights (3–5 minutes, no demo)</w:t>
      </w:r>
    </w:p>
    <w:bookmarkStart w:id="36"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6"/>
    <w:bookmarkStart w:id="37"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7"/>
    <w:bookmarkStart w:id="38"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8"/>
    <w:bookmarkEnd w:id="39"/>
    <w:bookmarkStart w:id="42" w:name="part-7-qa-wrap-up"/>
    <w:p>
      <w:pPr>
        <w:pStyle w:val="Heading2"/>
      </w:pPr>
      <w:r>
        <w:t xml:space="preserve">Part 7: Q&amp;A / Wrap-Up</w:t>
      </w:r>
    </w:p>
    <w:bookmarkStart w:id="40"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87 work orders (all merged; WO-87 formulation support in prod)</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65 Playwright E2E tests (all browsers) + 6 jest unit tests. CI gates every merge. Cowork validated the manual QA walkthrough across 6 rounds with zero remaining findings.</w:t>
            </w:r>
          </w:p>
        </w:tc>
      </w:tr>
    </w:tbl>
    <w:bookmarkEnd w:id="40"/>
    <w:bookmarkStart w:id="41"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1"/>
    <w:bookmarkEnd w:id="42"/>
    <w:bookmarkStart w:id="43"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1"/>
  </w:num>
  <w:num w:numId="102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8">
    <w:abstractNumId w:val="991"/>
  </w:num>
  <w:num w:numId="102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1">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7">
    <w:abstractNumId w:val="991"/>
  </w:num>
  <w:num w:numId="105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2026-04-21T17:43:17Z</dcterms:created>
  <dcterms:modified xsi:type="dcterms:W3CDTF">2026-04-21T17:43:17Z</dcterms:modified>
</cp:coreProperties>
</file>

<file path=docProps/custom.xml><?xml version="1.0" encoding="utf-8"?>
<Properties xmlns="http://schemas.openxmlformats.org/officeDocument/2006/custom-properties" xmlns:vt="http://schemas.openxmlformats.org/officeDocument/2006/docPropsVTypes"/>
</file>