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X9e355f1178d7dd976f0e8acc09c7e47d54610f4"/>
    <w:p>
      <w:pPr>
        <w:pStyle w:val="Heading1"/>
      </w:pPr>
      <w:r>
        <w:t xml:space="preserve">Design Partner Agreement — Letter of Intent</w:t>
      </w:r>
    </w:p>
    <w:p>
      <w:pPr>
        <w:pStyle w:val="FirstParagraph"/>
      </w:pPr>
      <w:r>
        <w:rPr>
          <w:bCs/>
          <w:b/>
        </w:rPr>
        <w:t xml:space="preserve">Important disclaimer:</w:t>
      </w:r>
      <w:r>
        <w:t xml:space="preserve"> </w:t>
      </w:r>
      <w:r>
        <w:t xml:space="preserve">This template is a</w:t>
      </w:r>
      <w:r>
        <w:t xml:space="preserve"> </w:t>
      </w:r>
      <w:r>
        <w:rPr>
          <w:bCs/>
          <w:b/>
        </w:rPr>
        <w:t xml:space="preserve">non-binding Letter of Intent (LOI)</w:t>
      </w:r>
      <w:r>
        <w:t xml:space="preserve">, not a legal contract. It captures mutual commitment and scope but intentionally avoids enforceable obligations. Before ANY money changes hands or the clinic starts using the platform with real patients, get a real lawyer to draft a binding Master Services Agreement (MSA). Budget $2,000–$5,000 for this from the legal line in your seed plan.</w:t>
      </w:r>
    </w:p>
    <w:p>
      <w:pPr>
        <w:pStyle w:val="BodyText"/>
      </w:pPr>
      <w:r>
        <w:rPr>
          <w:bCs/>
          <w:b/>
        </w:rPr>
        <w:t xml:space="preserve">When to send:</w:t>
      </w:r>
      <w:r>
        <w:t xml:space="preserve"> </w:t>
      </w:r>
      <w:r>
        <w:t xml:space="preserve">After a clinic has verbally committed in a demo call. Send within 24 hours of the verbal commitment while enthusiasm is high. Ask them to sign and send back within 5 business days.</w:t>
      </w:r>
    </w:p>
    <w:p>
      <w:pPr>
        <w:pStyle w:val="BodyText"/>
      </w:pPr>
      <w:r>
        <w:rPr>
          <w:bCs/>
          <w:b/>
        </w:rPr>
        <w:t xml:space="preserve">Length goal:</w:t>
      </w:r>
      <w:r>
        <w:t xml:space="preserve"> </w:t>
      </w:r>
      <w:r>
        <w:t xml:space="preserve">1-2 pages. If it gets longer, you’re overcomplicating it.</w:t>
      </w:r>
    </w:p>
    <w:p>
      <w:r>
        <w:pict>
          <v:rect style="width:0;height:1.5pt" o:hralign="center" o:hrstd="t" o:hr="t"/>
        </w:pict>
      </w:r>
    </w:p>
    <w:bookmarkStart w:id="29" w:name="X74fdbd92afc144487c347da0347afebc62d3563"/>
    <w:p>
      <w:pPr>
        <w:pStyle w:val="Heading2"/>
      </w:pPr>
      <w:r>
        <w:t xml:space="preserve">Template (Copy Below Into a Fresh Doc, Personalize, and Send)</w:t>
      </w:r>
    </w:p>
    <w:p>
      <w:r>
        <w:pict>
          <v:rect style="width:0;height:1.5pt" o:hralign="center" o:hrstd="t" o:hr="t"/>
        </w:pict>
      </w:r>
    </w:p>
    <w:p>
      <w:pPr>
        <w:pStyle w:val="FirstParagraph"/>
      </w:pPr>
      <w:r>
        <w:rPr>
          <w:bCs/>
          <w:b/>
        </w:rPr>
        <w:t xml:space="preserve">COMPOUNDIQ DESIGN PARTNER LETTER OF INTENT</w:t>
      </w:r>
    </w:p>
    <w:p>
      <w:pPr>
        <w:pStyle w:val="BodyText"/>
      </w:pPr>
      <w:r>
        <w:rPr>
          <w:bCs/>
          <w:b/>
        </w:rPr>
        <w:t xml:space="preserve">Date:</w:t>
      </w:r>
      <w:r>
        <w:t xml:space="preserve"> </w:t>
      </w:r>
      <w:r>
        <w:t xml:space="preserve">[DATE]</w:t>
      </w:r>
    </w:p>
    <w:p>
      <w:pPr>
        <w:pStyle w:val="BodyText"/>
      </w:pPr>
      <w:r>
        <w:rPr>
          <w:bCs/>
          <w:b/>
        </w:rPr>
        <w:t xml:space="preserve">Between:</w:t>
      </w:r>
    </w:p>
    <w:p>
      <w:pPr>
        <w:pStyle w:val="BodyText"/>
      </w:pPr>
      <w:r>
        <w:rPr>
          <w:bCs/>
          <w:b/>
        </w:rPr>
        <w:t xml:space="preserve">CompoundIQ Inc.</w:t>
      </w:r>
      <w:r>
        <w:t xml:space="preserve"> </w:t>
      </w:r>
      <w:r>
        <w:t xml:space="preserve">(</w:t>
      </w:r>
      <w:r>
        <w:t xml:space="preserve">“</w:t>
      </w:r>
      <w:r>
        <w:t xml:space="preserve">CompoundIQ</w:t>
      </w:r>
      <w:r>
        <w:t xml:space="preserve">”</w:t>
      </w:r>
      <w:r>
        <w:t xml:space="preserve">)</w:t>
      </w:r>
      <w:r>
        <w:t xml:space="preserve"> </w:t>
      </w:r>
      <w:r>
        <w:t xml:space="preserve">[ADDRESS]</w:t>
      </w:r>
      <w:r>
        <w:t xml:space="preserve"> </w:t>
      </w:r>
      <w:r>
        <w:t xml:space="preserve">[EMAIL]</w:t>
      </w:r>
    </w:p>
    <w:p>
      <w:pPr>
        <w:pStyle w:val="BodyText"/>
      </w:pPr>
      <w:r>
        <w:t xml:space="preserve">and</w:t>
      </w:r>
    </w:p>
    <w:p>
      <w:pPr>
        <w:pStyle w:val="BodyText"/>
      </w:pPr>
      <w:r>
        <w:rPr>
          <w:bCs/>
          <w:b/>
        </w:rPr>
        <w:t xml:space="preserve">[CLINIC LEGAL NAME]</w:t>
      </w:r>
      <w:r>
        <w:t xml:space="preserve"> </w:t>
      </w:r>
      <w:r>
        <w:t xml:space="preserve">(</w:t>
      </w:r>
      <w:r>
        <w:t xml:space="preserve">“</w:t>
      </w:r>
      <w:r>
        <w:t xml:space="preserve">Clinic</w:t>
      </w:r>
      <w:r>
        <w:t xml:space="preserve">”</w:t>
      </w:r>
      <w:r>
        <w:t xml:space="preserve">)</w:t>
      </w:r>
      <w:r>
        <w:t xml:space="preserve"> </w:t>
      </w:r>
      <w:r>
        <w:t xml:space="preserve">[CLINIC ADDRESS]</w:t>
      </w:r>
      <w:r>
        <w:t xml:space="preserve"> </w:t>
      </w:r>
      <w:r>
        <w:t xml:space="preserve">[CLINIC CONTACT EMAIL]</w:t>
      </w:r>
    </w:p>
    <w:p>
      <w:r>
        <w:pict>
          <v:rect style="width:0;height:1.5pt" o:hralign="center" o:hrstd="t" o:hr="t"/>
        </w:pict>
      </w:r>
    </w:p>
    <w:bookmarkStart w:id="20" w:name="purpose"/>
    <w:p>
      <w:pPr>
        <w:pStyle w:val="Heading3"/>
      </w:pPr>
      <w:r>
        <w:t xml:space="preserve">1. Purpose</w:t>
      </w:r>
    </w:p>
    <w:p>
      <w:pPr>
        <w:pStyle w:val="FirstParagraph"/>
      </w:pPr>
      <w:r>
        <w:t xml:space="preserve">This Letter of Intent (</w:t>
      </w:r>
      <w:r>
        <w:t xml:space="preserve">“</w:t>
      </w:r>
      <w:r>
        <w:t xml:space="preserve">LOI</w:t>
      </w:r>
      <w:r>
        <w:t xml:space="preserve">”</w:t>
      </w:r>
      <w:r>
        <w:t xml:space="preserve">) reflects the mutual interest of CompoundIQ and Clinic in establishing a design partnership for CompoundIQ’s functional medicine infrastructure platform. The parties intend to collaborate on (a) validating the platform with real prescription workflows, (b) capturing Clinic feedback to shape product development, and (c) preparing for a formal commercial agreement upon successful design partner period.</w:t>
      </w:r>
    </w:p>
    <w:bookmarkEnd w:id="20"/>
    <w:bookmarkStart w:id="21" w:name="scope-of-the-design-partnership"/>
    <w:p>
      <w:pPr>
        <w:pStyle w:val="Heading3"/>
      </w:pPr>
      <w:r>
        <w:t xml:space="preserve">2. Scope of the Design Partnership</w:t>
      </w:r>
    </w:p>
    <w:p>
      <w:pPr>
        <w:pStyle w:val="FirstParagraph"/>
      </w:pPr>
      <w:r>
        <w:rPr>
          <w:bCs/>
          <w:b/>
        </w:rPr>
        <w:t xml:space="preserve">2.1 What CompoundIQ will provide:</w:t>
      </w:r>
    </w:p>
    <w:p>
      <w:pPr>
        <w:numPr>
          <w:ilvl w:val="0"/>
          <w:numId w:val="1001"/>
        </w:numPr>
        <w:pStyle w:val="Compact"/>
      </w:pPr>
      <w:r>
        <w:t xml:space="preserve">Full access to the CompoundIQ platform, including:</w:t>
      </w:r>
    </w:p>
    <w:p>
      <w:pPr>
        <w:numPr>
          <w:ilvl w:val="1"/>
          <w:numId w:val="1002"/>
        </w:numPr>
        <w:pStyle w:val="Compact"/>
      </w:pPr>
      <w:r>
        <w:t xml:space="preserve">Clinic Application (web app for medical assistants, providers, and clinic admins)</w:t>
      </w:r>
    </w:p>
    <w:p>
      <w:pPr>
        <w:numPr>
          <w:ilvl w:val="1"/>
          <w:numId w:val="1002"/>
        </w:numPr>
        <w:pStyle w:val="Compact"/>
      </w:pPr>
      <w:r>
        <w:t xml:space="preserve">Patient Checkout (mobile-optimized payment link delivery)</w:t>
      </w:r>
    </w:p>
    <w:p>
      <w:pPr>
        <w:numPr>
          <w:ilvl w:val="1"/>
          <w:numId w:val="1002"/>
        </w:numPr>
        <w:pStyle w:val="Compact"/>
      </w:pPr>
      <w:r>
        <w:t xml:space="preserve">Cascading Prescription Builder with structured sig generation</w:t>
      </w:r>
    </w:p>
    <w:p>
      <w:pPr>
        <w:numPr>
          <w:ilvl w:val="1"/>
          <w:numId w:val="1002"/>
        </w:numPr>
        <w:pStyle w:val="Compact"/>
      </w:pPr>
      <w:r>
        <w:t xml:space="preserve">Provider Favorites and Clinic Protocol Templates</w:t>
      </w:r>
    </w:p>
    <w:p>
      <w:pPr>
        <w:numPr>
          <w:ilvl w:val="1"/>
          <w:numId w:val="1002"/>
        </w:numPr>
        <w:pStyle w:val="Compact"/>
      </w:pPr>
      <w:r>
        <w:t xml:space="preserve">Multi-Prescription Session with single-signature batch send</w:t>
      </w:r>
    </w:p>
    <w:p>
      <w:pPr>
        <w:numPr>
          <w:ilvl w:val="1"/>
          <w:numId w:val="1002"/>
        </w:numPr>
        <w:pStyle w:val="Compact"/>
      </w:pPr>
      <w:r>
        <w:t xml:space="preserve">DEA 21 CFR 1311-compliant EPCS 2FA for controlled substances</w:t>
      </w:r>
    </w:p>
    <w:p>
      <w:pPr>
        <w:numPr>
          <w:ilvl w:val="1"/>
          <w:numId w:val="1002"/>
        </w:numPr>
        <w:pStyle w:val="Compact"/>
      </w:pPr>
      <w:r>
        <w:t xml:space="preserve">Drug Interaction Alerts with clinical guidance</w:t>
      </w:r>
    </w:p>
    <w:p>
      <w:pPr>
        <w:numPr>
          <w:ilvl w:val="0"/>
          <w:numId w:val="1001"/>
        </w:numPr>
        <w:pStyle w:val="Compact"/>
      </w:pPr>
      <w:r>
        <w:t xml:space="preserve">Integration support including Stripe Connect onboarding, user account setup for Clinic staff, and pharmacy routing configuration</w:t>
      </w:r>
    </w:p>
    <w:p>
      <w:pPr>
        <w:numPr>
          <w:ilvl w:val="0"/>
          <w:numId w:val="1001"/>
        </w:numPr>
        <w:pStyle w:val="Compact"/>
      </w:pPr>
      <w:r>
        <w:t xml:space="preserve">Priority support with direct access to CompoundIQ’s founders via Slack, email, or phone</w:t>
      </w:r>
    </w:p>
    <w:p>
      <w:pPr>
        <w:numPr>
          <w:ilvl w:val="0"/>
          <w:numId w:val="1001"/>
        </w:numPr>
        <w:pStyle w:val="Compact"/>
      </w:pPr>
      <w:r>
        <w:t xml:space="preserve">Training session (1 hour) for Clinic medical assistants, providers, and admin staff</w:t>
      </w:r>
    </w:p>
    <w:p>
      <w:pPr>
        <w:numPr>
          <w:ilvl w:val="0"/>
          <w:numId w:val="1001"/>
        </w:numPr>
        <w:pStyle w:val="Compact"/>
      </w:pPr>
      <w:r>
        <w:t xml:space="preserve">Custom feature requests evaluated on a case-by-case basis</w:t>
      </w:r>
    </w:p>
    <w:p>
      <w:pPr>
        <w:pStyle w:val="FirstParagraph"/>
      </w:pPr>
      <w:r>
        <w:rPr>
          <w:bCs/>
          <w:b/>
        </w:rPr>
        <w:t xml:space="preserve">2.2 What Clinic will provide:</w:t>
      </w:r>
    </w:p>
    <w:p>
      <w:pPr>
        <w:numPr>
          <w:ilvl w:val="0"/>
          <w:numId w:val="1003"/>
        </w:numPr>
        <w:pStyle w:val="Compact"/>
      </w:pPr>
      <w:r>
        <w:t xml:space="preserve">Good-faith effort to use CompoundIQ as the primary tool for compounded prescription workflows during the design partner period</w:t>
      </w:r>
    </w:p>
    <w:p>
      <w:pPr>
        <w:numPr>
          <w:ilvl w:val="0"/>
          <w:numId w:val="1003"/>
        </w:numPr>
        <w:pStyle w:val="Compact"/>
      </w:pPr>
      <w:r>
        <w:t xml:space="preserve">Reasonable feedback on platform usability, bugs, and feature gaps</w:t>
      </w:r>
    </w:p>
    <w:p>
      <w:pPr>
        <w:numPr>
          <w:ilvl w:val="0"/>
          <w:numId w:val="1003"/>
        </w:numPr>
        <w:pStyle w:val="Compact"/>
      </w:pPr>
      <w:r>
        <w:t xml:space="preserve">Introduction(s) to Clinic’s existing compounding pharmacy partners, if appropriate, to support catalog data acquisition</w:t>
      </w:r>
    </w:p>
    <w:p>
      <w:pPr>
        <w:numPr>
          <w:ilvl w:val="0"/>
          <w:numId w:val="1003"/>
        </w:numPr>
        <w:pStyle w:val="Compact"/>
      </w:pPr>
      <w:r>
        <w:t xml:space="preserve">Optional: participation in a written case study or testimonial after 60 days of use (Clinic has full approval rights over any public materials)</w:t>
      </w:r>
    </w:p>
    <w:p>
      <w:pPr>
        <w:pStyle w:val="FirstParagraph"/>
      </w:pPr>
      <w:r>
        <w:rPr>
          <w:bCs/>
          <w:b/>
        </w:rPr>
        <w:t xml:space="preserve">2.3 What each party keeps:</w:t>
      </w:r>
    </w:p>
    <w:p>
      <w:pPr>
        <w:numPr>
          <w:ilvl w:val="0"/>
          <w:numId w:val="1004"/>
        </w:numPr>
        <w:pStyle w:val="Compact"/>
      </w:pPr>
      <w:r>
        <w:t xml:space="preserve">Clinic retains all clinical decision-making authority. CompoundIQ provides no clinical advice and makes no prescribing recommendations.</w:t>
      </w:r>
    </w:p>
    <w:p>
      <w:pPr>
        <w:numPr>
          <w:ilvl w:val="0"/>
          <w:numId w:val="1004"/>
        </w:numPr>
        <w:pStyle w:val="Compact"/>
      </w:pPr>
      <w:r>
        <w:t xml:space="preserve">Clinic retains all existing pharmacy relationships.</w:t>
      </w:r>
    </w:p>
    <w:p>
      <w:pPr>
        <w:numPr>
          <w:ilvl w:val="0"/>
          <w:numId w:val="1004"/>
        </w:numPr>
        <w:pStyle w:val="Compact"/>
      </w:pPr>
      <w:r>
        <w:t xml:space="preserve">Clinic retains ownership of all patient data; CompoundIQ acts as a business associate subject to HIPAA.</w:t>
      </w:r>
    </w:p>
    <w:p>
      <w:pPr>
        <w:numPr>
          <w:ilvl w:val="0"/>
          <w:numId w:val="1004"/>
        </w:numPr>
        <w:pStyle w:val="Compact"/>
      </w:pPr>
      <w:r>
        <w:t xml:space="preserve">CompoundIQ retains ownership of the platform and all associated intellectual property.</w:t>
      </w:r>
    </w:p>
    <w:bookmarkEnd w:id="21"/>
    <w:bookmarkStart w:id="22" w:name="design-partner-benefits"/>
    <w:p>
      <w:pPr>
        <w:pStyle w:val="Heading3"/>
      </w:pPr>
      <w:r>
        <w:t xml:space="preserve">3. Design Partner Benefits</w:t>
      </w:r>
    </w:p>
    <w:p>
      <w:pPr>
        <w:pStyle w:val="FirstParagraph"/>
      </w:pPr>
      <w:r>
        <w:t xml:space="preserve">During the design partner period, Clinic receives the following benefits in exchange for their time and feedback:</w:t>
      </w:r>
    </w:p>
    <w:p>
      <w:pPr>
        <w:numPr>
          <w:ilvl w:val="0"/>
          <w:numId w:val="1005"/>
        </w:numPr>
      </w:pPr>
      <w:r>
        <w:rPr>
          <w:bCs/>
          <w:b/>
        </w:rPr>
        <w:t xml:space="preserve">Platform fee waived for the first six (6) months.</w:t>
      </w:r>
      <w:r>
        <w:t xml:space="preserve"> </w:t>
      </w:r>
      <w:r>
        <w:t xml:space="preserve">CompoundIQ typically captures 15% of the margin spread on each transaction (wholesale price minus retail price × 15%). For Clinic during the first 6 months, this fee is waived entirely. Clinic keeps 100% of the margin spread on every prescription, less only third-party payment processor fees (Stripe processing fees, approximately 2.9% + $0.30 per transaction).</w:t>
      </w:r>
    </w:p>
    <w:p>
      <w:pPr>
        <w:numPr>
          <w:ilvl w:val="0"/>
          <w:numId w:val="1005"/>
        </w:numPr>
      </w:pPr>
      <w:r>
        <w:rPr>
          <w:bCs/>
          <w:b/>
        </w:rPr>
        <w:t xml:space="preserve">Discounted platform fee for months 7-12.</w:t>
      </w:r>
      <w:r>
        <w:t xml:space="preserve"> </w:t>
      </w:r>
      <w:r>
        <w:t xml:space="preserve">Following the initial 6-month waiver, Clinic receives a 50% reduction on the standard platform fee (7.5% of margin spread instead of 15%) for an additional six months.</w:t>
      </w:r>
    </w:p>
    <w:p>
      <w:pPr>
        <w:numPr>
          <w:ilvl w:val="0"/>
          <w:numId w:val="1005"/>
        </w:numPr>
      </w:pPr>
      <w:r>
        <w:rPr>
          <w:bCs/>
          <w:b/>
        </w:rPr>
        <w:t xml:space="preserve">Direct founder access.</w:t>
      </w:r>
      <w:r>
        <w:t xml:space="preserve"> </w:t>
      </w:r>
      <w:r>
        <w:t xml:space="preserve">Clinic has a direct line to CompoundIQ’s founders for product feedback, escalations, and custom requests.</w:t>
      </w:r>
    </w:p>
    <w:p>
      <w:pPr>
        <w:numPr>
          <w:ilvl w:val="0"/>
          <w:numId w:val="1005"/>
        </w:numPr>
      </w:pPr>
      <w:r>
        <w:rPr>
          <w:bCs/>
          <w:b/>
        </w:rPr>
        <w:t xml:space="preserve">Feature co-design input.</w:t>
      </w:r>
      <w:r>
        <w:t xml:space="preserve"> </w:t>
      </w:r>
      <w:r>
        <w:t xml:space="preserve">Clinic’s feedback will be prioritized in the product roadmap during the design partner period.</w:t>
      </w:r>
    </w:p>
    <w:p>
      <w:pPr>
        <w:numPr>
          <w:ilvl w:val="0"/>
          <w:numId w:val="1005"/>
        </w:numPr>
      </w:pPr>
      <w:r>
        <w:rPr>
          <w:bCs/>
          <w:b/>
        </w:rPr>
        <w:t xml:space="preserve">Priority support.</w:t>
      </w:r>
      <w:r>
        <w:t xml:space="preserve"> </w:t>
      </w:r>
      <w:r>
        <w:t xml:space="preserve">Response time SLA: 2 business hours for critical issues, 1 business day for non-critical.</w:t>
      </w:r>
    </w:p>
    <w:p>
      <w:pPr>
        <w:numPr>
          <w:ilvl w:val="0"/>
          <w:numId w:val="1005"/>
        </w:numPr>
      </w:pPr>
      <w:r>
        <w:rPr>
          <w:bCs/>
          <w:b/>
        </w:rPr>
        <w:t xml:space="preserve">Naming opt-in.</w:t>
      </w:r>
      <w:r>
        <w:t xml:space="preserve"> </w:t>
      </w:r>
      <w:r>
        <w:t xml:space="preserve">Clinic may be referenced as a CompoundIQ design partner in marketing and investor materials only with written approval.</w:t>
      </w:r>
    </w:p>
    <w:bookmarkEnd w:id="22"/>
    <w:bookmarkStart w:id="23" w:name="term-and-termination"/>
    <w:p>
      <w:pPr>
        <w:pStyle w:val="Heading3"/>
      </w:pPr>
      <w:r>
        <w:t xml:space="preserve">4. Term and Termination</w:t>
      </w:r>
    </w:p>
    <w:p>
      <w:pPr>
        <w:pStyle w:val="FirstParagraph"/>
      </w:pPr>
      <w:r>
        <w:rPr>
          <w:bCs/>
          <w:b/>
        </w:rPr>
        <w:t xml:space="preserve">4.1 Term:</w:t>
      </w:r>
      <w:r>
        <w:t xml:space="preserve"> </w:t>
      </w:r>
      <w:r>
        <w:t xml:space="preserve">This LOI is effective from the date both parties sign and continues for six (6) months, with automatic extension to twelve (12) months upon mutual agreement.</w:t>
      </w:r>
    </w:p>
    <w:p>
      <w:pPr>
        <w:pStyle w:val="BodyText"/>
      </w:pPr>
      <w:r>
        <w:rPr>
          <w:bCs/>
          <w:b/>
        </w:rPr>
        <w:t xml:space="preserve">4.2 Termination:</w:t>
      </w:r>
      <w:r>
        <w:t xml:space="preserve"> </w:t>
      </w:r>
      <w:r>
        <w:t xml:space="preserve">Either party may terminate this LOI at any time with thirty (30) days’ written notice (email is sufficient). Upon termination:</w:t>
      </w:r>
    </w:p>
    <w:p>
      <w:pPr>
        <w:numPr>
          <w:ilvl w:val="0"/>
          <w:numId w:val="1006"/>
        </w:numPr>
        <w:pStyle w:val="Compact"/>
      </w:pPr>
      <w:r>
        <w:t xml:space="preserve">CompoundIQ will provide Clinic with an export of all Clinic data in CSV format within 10 business days</w:t>
      </w:r>
    </w:p>
    <w:p>
      <w:pPr>
        <w:numPr>
          <w:ilvl w:val="0"/>
          <w:numId w:val="1006"/>
        </w:numPr>
        <w:pStyle w:val="Compact"/>
      </w:pPr>
      <w:r>
        <w:t xml:space="preserve">Clinic will delete any CompoundIQ confidential information in its possession</w:t>
      </w:r>
    </w:p>
    <w:p>
      <w:pPr>
        <w:numPr>
          <w:ilvl w:val="0"/>
          <w:numId w:val="1006"/>
        </w:numPr>
        <w:pStyle w:val="Compact"/>
      </w:pPr>
      <w:r>
        <w:t xml:space="preserve">Neither party owes the other any fees, damages, or further obligations</w:t>
      </w:r>
    </w:p>
    <w:bookmarkEnd w:id="23"/>
    <w:bookmarkStart w:id="24" w:name="confidentiality"/>
    <w:p>
      <w:pPr>
        <w:pStyle w:val="Heading3"/>
      </w:pPr>
      <w:r>
        <w:t xml:space="preserve">5. Confidentiality</w:t>
      </w:r>
    </w:p>
    <w:p>
      <w:pPr>
        <w:pStyle w:val="FirstParagraph"/>
      </w:pPr>
      <w:r>
        <w:t xml:space="preserve">Both parties agree to hold the other’s confidential information (including platform details, patient data, pricing information, business strategy, and roadmap) in confidence during and for two (2) years after termination of this LOI. Standard carveouts apply: information that is publicly available, independently developed, or rightfully received from a third party is not subject to this obligation.</w:t>
      </w:r>
    </w:p>
    <w:bookmarkEnd w:id="24"/>
    <w:bookmarkStart w:id="25" w:name="hipaa-and-data-protection"/>
    <w:p>
      <w:pPr>
        <w:pStyle w:val="Heading3"/>
      </w:pPr>
      <w:r>
        <w:t xml:space="preserve">6. HIPAA and Data Protection</w:t>
      </w:r>
    </w:p>
    <w:p>
      <w:pPr>
        <w:pStyle w:val="FirstParagraph"/>
      </w:pPr>
      <w:r>
        <w:rPr>
          <w:bCs/>
          <w:b/>
        </w:rPr>
        <w:t xml:space="preserve">6.1</w:t>
      </w:r>
      <w:r>
        <w:t xml:space="preserve"> </w:t>
      </w:r>
      <w:r>
        <w:t xml:space="preserve">CompoundIQ acknowledges that Clinic may transmit Protected Health Information (PHI) through the platform and that CompoundIQ acts as a Business Associate under HIPAA.</w:t>
      </w:r>
    </w:p>
    <w:p>
      <w:pPr>
        <w:pStyle w:val="BodyText"/>
      </w:pPr>
      <w:r>
        <w:rPr>
          <w:bCs/>
          <w:b/>
        </w:rPr>
        <w:t xml:space="preserve">6.2</w:t>
      </w:r>
      <w:r>
        <w:t xml:space="preserve"> </w:t>
      </w:r>
      <w:r>
        <w:t xml:space="preserve">Prior to the transmission of any PHI, the parties will execute a separate Business Associate Agreement (BAA) in a form reasonably acceptable to both parties.</w:t>
      </w:r>
    </w:p>
    <w:p>
      <w:pPr>
        <w:pStyle w:val="BodyText"/>
      </w:pPr>
      <w:r>
        <w:rPr>
          <w:bCs/>
          <w:b/>
        </w:rPr>
        <w:t xml:space="preserve">6.3</w:t>
      </w:r>
      <w:r>
        <w:t xml:space="preserve"> </w:t>
      </w:r>
      <w:r>
        <w:t xml:space="preserve">CompoundIQ maintains the following HIPAA-adjacent controls:</w:t>
      </w:r>
    </w:p>
    <w:p>
      <w:pPr>
        <w:numPr>
          <w:ilvl w:val="0"/>
          <w:numId w:val="1007"/>
        </w:numPr>
        <w:pStyle w:val="Compact"/>
      </w:pPr>
      <w:r>
        <w:t xml:space="preserve">AES-256 encryption at rest</w:t>
      </w:r>
    </w:p>
    <w:p>
      <w:pPr>
        <w:numPr>
          <w:ilvl w:val="0"/>
          <w:numId w:val="1007"/>
        </w:numPr>
        <w:pStyle w:val="Compact"/>
      </w:pPr>
      <w:r>
        <w:t xml:space="preserve">TLS 1.2+ in transit</w:t>
      </w:r>
    </w:p>
    <w:p>
      <w:pPr>
        <w:numPr>
          <w:ilvl w:val="0"/>
          <w:numId w:val="1007"/>
        </w:numPr>
        <w:pStyle w:val="Compact"/>
      </w:pPr>
      <w:r>
        <w:t xml:space="preserve">Row-Level Security on all database tables</w:t>
      </w:r>
    </w:p>
    <w:p>
      <w:pPr>
        <w:numPr>
          <w:ilvl w:val="0"/>
          <w:numId w:val="1007"/>
        </w:numPr>
        <w:pStyle w:val="Compact"/>
      </w:pPr>
      <w:r>
        <w:t xml:space="preserve">Zero PHI in Stripe payment metadata</w:t>
      </w:r>
    </w:p>
    <w:p>
      <w:pPr>
        <w:numPr>
          <w:ilvl w:val="0"/>
          <w:numId w:val="1007"/>
        </w:numPr>
        <w:pStyle w:val="Compact"/>
      </w:pPr>
      <w:r>
        <w:t xml:space="preserve">PHI-scrubbed error monitoring</w:t>
      </w:r>
    </w:p>
    <w:p>
      <w:pPr>
        <w:numPr>
          <w:ilvl w:val="0"/>
          <w:numId w:val="1007"/>
        </w:numPr>
        <w:pStyle w:val="Compact"/>
      </w:pPr>
      <w:r>
        <w:t xml:space="preserve">Immutable audit trails</w:t>
      </w:r>
    </w:p>
    <w:p>
      <w:pPr>
        <w:numPr>
          <w:ilvl w:val="0"/>
          <w:numId w:val="1007"/>
        </w:numPr>
        <w:pStyle w:val="Compact"/>
      </w:pPr>
      <w:r>
        <w:t xml:space="preserve">Subprocessor BAAs with Supabase, Stripe, Twilio, Documo, Vercel, and Sentry</w:t>
      </w:r>
    </w:p>
    <w:bookmarkEnd w:id="25"/>
    <w:bookmarkStart w:id="26" w:name="no-binding-commercial-obligations"/>
    <w:p>
      <w:pPr>
        <w:pStyle w:val="Heading3"/>
      </w:pPr>
      <w:r>
        <w:t xml:space="preserve">7. No Binding Commercial Obligations</w:t>
      </w:r>
    </w:p>
    <w:p>
      <w:pPr>
        <w:pStyle w:val="FirstParagraph"/>
      </w:pPr>
      <w:r>
        <w:rPr>
          <w:bCs/>
          <w:b/>
        </w:rPr>
        <w:t xml:space="preserve">This LOI is expressly non-binding</w:t>
      </w:r>
      <w:r>
        <w:t xml:space="preserve"> </w:t>
      </w:r>
      <w:r>
        <w:t xml:space="preserve">with respect to any commercial transaction. No party is obligated to enter into any commercial agreement, make any payment, or provide any service beyond what is described above. Sections 5 (Confidentiality), 6 (HIPAA), and 8 (Governing Law) are the only binding provisions of this LOI.</w:t>
      </w:r>
    </w:p>
    <w:p>
      <w:pPr>
        <w:pStyle w:val="BodyText"/>
      </w:pPr>
      <w:r>
        <w:t xml:space="preserve">The parties intend to negotiate a formal Master Services Agreement prior to or concurrent with Clinic’s first live production transaction on the platform.</w:t>
      </w:r>
    </w:p>
    <w:bookmarkEnd w:id="26"/>
    <w:bookmarkStart w:id="27" w:name="governing-law"/>
    <w:p>
      <w:pPr>
        <w:pStyle w:val="Heading3"/>
      </w:pPr>
      <w:r>
        <w:t xml:space="preserve">8. Governing Law</w:t>
      </w:r>
    </w:p>
    <w:p>
      <w:pPr>
        <w:pStyle w:val="FirstParagraph"/>
      </w:pPr>
      <w:r>
        <w:t xml:space="preserve">This LOI is governed by the laws of [STATE — typically Delaware for a C-Corp], without regard to conflict of laws principles. Any disputes will be resolved in the state or federal courts of [COUNTY, STATE].</w:t>
      </w:r>
    </w:p>
    <w:bookmarkEnd w:id="27"/>
    <w:bookmarkStart w:id="28" w:name="signatures"/>
    <w:p>
      <w:pPr>
        <w:pStyle w:val="Heading3"/>
      </w:pPr>
      <w:r>
        <w:t xml:space="preserve">9. Signatures</w:t>
      </w:r>
    </w:p>
    <w:p>
      <w:pPr>
        <w:pStyle w:val="FirstParagraph"/>
      </w:pPr>
      <w:r>
        <w:t xml:space="preserve">By signing below, each party acknowledges they have read, understood, and agree to the terms of this Letter of Intent.</w:t>
      </w:r>
    </w:p>
    <w:p>
      <w:r>
        <w:pict>
          <v:rect style="width:0;height:1.5pt" o:hralign="center" o:hrstd="t" o:hr="t"/>
        </w:pict>
      </w:r>
    </w:p>
    <w:p>
      <w:pPr>
        <w:pStyle w:val="FirstParagraph"/>
      </w:pPr>
      <w:r>
        <w:rPr>
          <w:bCs/>
          <w:b/>
        </w:rPr>
        <w:t xml:space="preserve">COMPOUNDIQ INC.</w:t>
      </w:r>
    </w:p>
    <w:p>
      <w:pPr>
        <w:pStyle w:val="BodyText"/>
      </w:pPr>
      <w:r>
        <w:t xml:space="preserve">Signature: _______________________________</w:t>
      </w:r>
    </w:p>
    <w:p>
      <w:pPr>
        <w:pStyle w:val="BodyText"/>
      </w:pPr>
      <w:r>
        <w:t xml:space="preserve">Name: [YOUR NAME]</w:t>
      </w:r>
    </w:p>
    <w:p>
      <w:pPr>
        <w:pStyle w:val="BodyText"/>
      </w:pPr>
      <w:r>
        <w:t xml:space="preserve">Title: [YOUR TITLE — Founder / CEO]</w:t>
      </w:r>
    </w:p>
    <w:p>
      <w:pPr>
        <w:pStyle w:val="BodyText"/>
      </w:pPr>
      <w:r>
        <w:t xml:space="preserve">Date: _______________________________</w:t>
      </w:r>
    </w:p>
    <w:p>
      <w:r>
        <w:pict>
          <v:rect style="width:0;height:1.5pt" o:hralign="center" o:hrstd="t" o:hr="t"/>
        </w:pict>
      </w:r>
    </w:p>
    <w:p>
      <w:pPr>
        <w:pStyle w:val="FirstParagraph"/>
      </w:pPr>
      <w:r>
        <w:rPr>
          <w:bCs/>
          <w:b/>
        </w:rPr>
        <w:t xml:space="preserve">[CLINIC LEGAL NAME]</w:t>
      </w:r>
    </w:p>
    <w:p>
      <w:pPr>
        <w:pStyle w:val="BodyText"/>
      </w:pPr>
      <w:r>
        <w:t xml:space="preserve">Signature: _______________________________</w:t>
      </w:r>
    </w:p>
    <w:p>
      <w:pPr>
        <w:pStyle w:val="BodyText"/>
      </w:pPr>
      <w:r>
        <w:t xml:space="preserve">Name: _______________________________</w:t>
      </w:r>
    </w:p>
    <w:p>
      <w:pPr>
        <w:pStyle w:val="BodyText"/>
      </w:pPr>
      <w:r>
        <w:t xml:space="preserve">Title: _______________________________</w:t>
      </w:r>
    </w:p>
    <w:p>
      <w:pPr>
        <w:pStyle w:val="BodyText"/>
      </w:pPr>
      <w:r>
        <w:t xml:space="preserve">Date: _______________________________</w:t>
      </w:r>
    </w:p>
    <w:p>
      <w:r>
        <w:pict>
          <v:rect style="width:0;height:1.5pt" o:hralign="center" o:hrstd="t" o:hr="t"/>
        </w:pict>
      </w:r>
    </w:p>
    <w:bookmarkEnd w:id="28"/>
    <w:bookmarkEnd w:id="29"/>
    <w:bookmarkStart w:id="36" w:name="notes-for-you-delete-before-sending"/>
    <w:p>
      <w:pPr>
        <w:pStyle w:val="Heading2"/>
      </w:pPr>
      <w:r>
        <w:t xml:space="preserve">Notes for You (Delete Before Sending)</w:t>
      </w:r>
    </w:p>
    <w:bookmarkStart w:id="30" w:name="how-to-use-this-template"/>
    <w:p>
      <w:pPr>
        <w:pStyle w:val="Heading3"/>
      </w:pPr>
      <w:r>
        <w:t xml:space="preserve">How to Use This Template</w:t>
      </w:r>
    </w:p>
    <w:p>
      <w:pPr>
        <w:numPr>
          <w:ilvl w:val="0"/>
          <w:numId w:val="1008"/>
        </w:numPr>
        <w:pStyle w:val="Compact"/>
      </w:pPr>
      <w:r>
        <w:rPr>
          <w:bCs/>
          <w:b/>
        </w:rPr>
        <w:t xml:space="preserve">Copy the template above</w:t>
      </w:r>
      <w:r>
        <w:t xml:space="preserve"> </w:t>
      </w:r>
      <w:r>
        <w:t xml:space="preserve">into a new Google Doc or Word file</w:t>
      </w:r>
    </w:p>
    <w:p>
      <w:pPr>
        <w:numPr>
          <w:ilvl w:val="0"/>
          <w:numId w:val="1008"/>
        </w:numPr>
        <w:pStyle w:val="Compact"/>
      </w:pPr>
      <w:r>
        <w:rPr>
          <w:bCs/>
          <w:b/>
        </w:rPr>
        <w:t xml:space="preserve">Fill in every [BRACKETED] field</w:t>
      </w:r>
      <w:r>
        <w:t xml:space="preserve"> </w:t>
      </w:r>
      <w:r>
        <w:t xml:space="preserve">— don’t send with placeholders still in the doc</w:t>
      </w:r>
    </w:p>
    <w:p>
      <w:pPr>
        <w:numPr>
          <w:ilvl w:val="0"/>
          <w:numId w:val="1008"/>
        </w:numPr>
        <w:pStyle w:val="Compact"/>
      </w:pPr>
      <w:r>
        <w:rPr>
          <w:bCs/>
          <w:b/>
        </w:rPr>
        <w:t xml:space="preserve">Name the file</w:t>
      </w:r>
      <w:r>
        <w:t xml:space="preserve"> </w:t>
      </w:r>
      <w:r>
        <w:t xml:space="preserve">something professional:</w:t>
      </w:r>
      <w:r>
        <w:t xml:space="preserve"> </w:t>
      </w:r>
      <w:r>
        <w:rPr>
          <w:rStyle w:val="VerbatimChar"/>
        </w:rPr>
        <w:t xml:space="preserve">CompoundIQ_Design_Partner_LOI_[ClinicName]_[Date].docx</w:t>
      </w:r>
    </w:p>
    <w:p>
      <w:pPr>
        <w:numPr>
          <w:ilvl w:val="0"/>
          <w:numId w:val="1008"/>
        </w:numPr>
        <w:pStyle w:val="Compact"/>
      </w:pPr>
      <w:r>
        <w:rPr>
          <w:bCs/>
          <w:b/>
        </w:rPr>
        <w:t xml:space="preserve">Convert to PDF</w:t>
      </w:r>
      <w:r>
        <w:t xml:space="preserve"> </w:t>
      </w:r>
      <w:r>
        <w:t xml:space="preserve">before sending (prevents edits)</w:t>
      </w:r>
    </w:p>
    <w:p>
      <w:pPr>
        <w:numPr>
          <w:ilvl w:val="0"/>
          <w:numId w:val="1008"/>
        </w:numPr>
        <w:pStyle w:val="Compact"/>
      </w:pPr>
      <w:r>
        <w:rPr>
          <w:bCs/>
          <w:b/>
        </w:rPr>
        <w:t xml:space="preserve">Use DocuSign or HelloSign</w:t>
      </w:r>
      <w:r>
        <w:t xml:space="preserve"> </w:t>
      </w:r>
      <w:r>
        <w:t xml:space="preserve">for signatures — sending a PDF with a</w:t>
      </w:r>
      <w:r>
        <w:t xml:space="preserve"> </w:t>
      </w:r>
      <w:r>
        <w:t xml:space="preserve">“</w:t>
      </w:r>
      <w:r>
        <w:t xml:space="preserve">sign and scan back</w:t>
      </w:r>
      <w:r>
        <w:t xml:space="preserve">”</w:t>
      </w:r>
      <w:r>
        <w:t xml:space="preserve"> </w:t>
      </w:r>
      <w:r>
        <w:t xml:space="preserve">request adds 3-5 days of friction. Both have free tiers for your volume.</w:t>
      </w:r>
    </w:p>
    <w:bookmarkEnd w:id="30"/>
    <w:bookmarkStart w:id="31" w:name="what-to-customize-per-clinic"/>
    <w:p>
      <w:pPr>
        <w:pStyle w:val="Heading3"/>
      </w:pPr>
      <w:r>
        <w:t xml:space="preserve">What to Customize Per Clinic</w:t>
      </w:r>
    </w:p>
    <w:p>
      <w:pPr>
        <w:numPr>
          <w:ilvl w:val="0"/>
          <w:numId w:val="1009"/>
        </w:numPr>
        <w:pStyle w:val="Compact"/>
      </w:pPr>
      <w:r>
        <w:rPr>
          <w:bCs/>
          <w:b/>
        </w:rPr>
        <w:t xml:space="preserve">Clinic legal name</w:t>
      </w:r>
      <w:r>
        <w:t xml:space="preserve"> </w:t>
      </w:r>
      <w:r>
        <w:t xml:space="preserve">— look this up on their state’s business registry, not just what they call themselves</w:t>
      </w:r>
    </w:p>
    <w:p>
      <w:pPr>
        <w:numPr>
          <w:ilvl w:val="0"/>
          <w:numId w:val="1009"/>
        </w:numPr>
        <w:pStyle w:val="Compact"/>
      </w:pPr>
      <w:r>
        <w:rPr>
          <w:bCs/>
          <w:b/>
        </w:rPr>
        <w:t xml:space="preserve">Fee waiver length</w:t>
      </w:r>
      <w:r>
        <w:t xml:space="preserve"> </w:t>
      </w:r>
      <w:r>
        <w:t xml:space="preserve">— 6 months is the anchor; for a high-volume clinic (100+ prescriptions/month expected), you could go to 12 months as a recruiting tool. For a small clinic, 3 months is fine.</w:t>
      </w:r>
    </w:p>
    <w:p>
      <w:pPr>
        <w:numPr>
          <w:ilvl w:val="0"/>
          <w:numId w:val="1009"/>
        </w:numPr>
        <w:pStyle w:val="Compact"/>
      </w:pPr>
      <w:r>
        <w:rPr>
          <w:bCs/>
          <w:b/>
        </w:rPr>
        <w:t xml:space="preserve">Governing law</w:t>
      </w:r>
      <w:r>
        <w:t xml:space="preserve"> </w:t>
      </w:r>
      <w:r>
        <w:t xml:space="preserve">— match your state of incorporation (Delaware is typical)</w:t>
      </w:r>
    </w:p>
    <w:p>
      <w:pPr>
        <w:numPr>
          <w:ilvl w:val="0"/>
          <w:numId w:val="1009"/>
        </w:numPr>
        <w:pStyle w:val="Compact"/>
      </w:pPr>
      <w:r>
        <w:rPr>
          <w:bCs/>
          <w:b/>
        </w:rPr>
        <w:t xml:space="preserve">Your title</w:t>
      </w:r>
      <w:r>
        <w:t xml:space="preserve"> </w:t>
      </w:r>
      <w:r>
        <w:t xml:space="preserve">—</w:t>
      </w:r>
      <w:r>
        <w:t xml:space="preserve"> </w:t>
      </w:r>
      <w:r>
        <w:t xml:space="preserve">“</w:t>
      </w:r>
      <w:r>
        <w:t xml:space="preserve">Founder &amp; CEO</w:t>
      </w:r>
      <w:r>
        <w:t xml:space="preserve">”</w:t>
      </w:r>
      <w:r>
        <w:t xml:space="preserve"> </w:t>
      </w:r>
      <w:r>
        <w:t xml:space="preserve">is fine; use whatever is on your LinkedIn</w:t>
      </w:r>
    </w:p>
    <w:bookmarkEnd w:id="31"/>
    <w:bookmarkStart w:id="32" w:name="red-flags-during-loi-negotiation"/>
    <w:p>
      <w:pPr>
        <w:pStyle w:val="Heading3"/>
      </w:pPr>
      <w:r>
        <w:t xml:space="preserve">Red Flags During LOI Negotiation</w:t>
      </w:r>
    </w:p>
    <w:p>
      <w:pPr>
        <w:pStyle w:val="FirstParagraph"/>
      </w:pPr>
      <w:r>
        <w:t xml:space="preserve">If a clinic pushes back on any of these, pause and think:</w:t>
      </w:r>
    </w:p>
    <w:p>
      <w:pPr>
        <w:numPr>
          <w:ilvl w:val="0"/>
          <w:numId w:val="1010"/>
        </w:numPr>
        <w:pStyle w:val="Compact"/>
      </w:pPr>
      <w:r>
        <w:rPr>
          <w:bCs/>
          <w:b/>
        </w:rPr>
        <w:t xml:space="preserve">“</w:t>
      </w:r>
      <w:r>
        <w:rPr>
          <w:bCs/>
          <w:b/>
        </w:rPr>
        <w:t xml:space="preserve">We want exclusivity</w:t>
      </w:r>
      <w:r>
        <w:rPr>
          <w:bCs/>
          <w:b/>
        </w:rPr>
        <w:t xml:space="preserve">”</w:t>
      </w:r>
      <w:r>
        <w:t xml:space="preserve"> </w:t>
      </w:r>
      <w:r>
        <w:t xml:space="preserve">— no. You are building a marketplace. Do not grant exclusivity to a design partner.</w:t>
      </w:r>
    </w:p>
    <w:p>
      <w:pPr>
        <w:numPr>
          <w:ilvl w:val="0"/>
          <w:numId w:val="1010"/>
        </w:numPr>
        <w:pStyle w:val="Compact"/>
      </w:pPr>
      <w:r>
        <w:rPr>
          <w:bCs/>
          <w:b/>
        </w:rPr>
        <w:t xml:space="preserve">“</w:t>
      </w:r>
      <w:r>
        <w:rPr>
          <w:bCs/>
          <w:b/>
        </w:rPr>
        <w:t xml:space="preserve">We want equity in exchange</w:t>
      </w:r>
      <w:r>
        <w:rPr>
          <w:bCs/>
          <w:b/>
        </w:rPr>
        <w:t xml:space="preserve">”</w:t>
      </w:r>
      <w:r>
        <w:t xml:space="preserve"> </w:t>
      </w:r>
      <w:r>
        <w:t xml:space="preserve">— generally no, unless this is a marquee brand (Parsley Health, Maximus, One Medical tier). Design partners pay in time/feedback, not equity dilution.</w:t>
      </w:r>
    </w:p>
    <w:p>
      <w:pPr>
        <w:numPr>
          <w:ilvl w:val="0"/>
          <w:numId w:val="1010"/>
        </w:numPr>
        <w:pStyle w:val="Compact"/>
      </w:pPr>
      <w:r>
        <w:rPr>
          <w:bCs/>
          <w:b/>
        </w:rPr>
        <w:t xml:space="preserve">“</w:t>
      </w:r>
      <w:r>
        <w:rPr>
          <w:bCs/>
          <w:b/>
        </w:rPr>
        <w:t xml:space="preserve">We want a longer term</w:t>
      </w:r>
      <w:r>
        <w:rPr>
          <w:bCs/>
          <w:b/>
        </w:rPr>
        <w:t xml:space="preserve">”</w:t>
      </w:r>
      <w:r>
        <w:t xml:space="preserve"> </w:t>
      </w:r>
      <w:r>
        <w:t xml:space="preserve">— fine, but don’t go beyond 18 months.</w:t>
      </w:r>
    </w:p>
    <w:p>
      <w:pPr>
        <w:numPr>
          <w:ilvl w:val="0"/>
          <w:numId w:val="1010"/>
        </w:numPr>
        <w:pStyle w:val="Compact"/>
      </w:pPr>
      <w:r>
        <w:rPr>
          <w:bCs/>
          <w:b/>
        </w:rPr>
        <w:t xml:space="preserve">“</w:t>
      </w:r>
      <w:r>
        <w:rPr>
          <w:bCs/>
          <w:b/>
        </w:rPr>
        <w:t xml:space="preserve">We want indemnification</w:t>
      </w:r>
      <w:r>
        <w:rPr>
          <w:bCs/>
          <w:b/>
        </w:rPr>
        <w:t xml:space="preserve">”</w:t>
      </w:r>
      <w:r>
        <w:t xml:space="preserve"> </w:t>
      </w:r>
      <w:r>
        <w:t xml:space="preserve">— standard SaaS-tier indemnity clauses are fine, but those belong in the MSA, not this LOI. Defer.</w:t>
      </w:r>
    </w:p>
    <w:p>
      <w:pPr>
        <w:numPr>
          <w:ilvl w:val="0"/>
          <w:numId w:val="1010"/>
        </w:numPr>
        <w:pStyle w:val="Compact"/>
      </w:pPr>
      <w:r>
        <w:rPr>
          <w:bCs/>
          <w:b/>
        </w:rPr>
        <w:t xml:space="preserve">“</w:t>
      </w:r>
      <w:r>
        <w:rPr>
          <w:bCs/>
          <w:b/>
        </w:rPr>
        <w:t xml:space="preserve">We need SOC 2 before we’ll sign</w:t>
      </w:r>
      <w:r>
        <w:rPr>
          <w:bCs/>
          <w:b/>
        </w:rPr>
        <w:t xml:space="preserve">”</w:t>
      </w:r>
      <w:r>
        <w:t xml:space="preserve"> </w:t>
      </w:r>
      <w:r>
        <w:t xml:space="preserve">— you don’t have SOC 2 yet. Explain the HIPAA-adjacent architecture, commit to SOC 2 Type 1 within 12 months.</w:t>
      </w:r>
    </w:p>
    <w:bookmarkEnd w:id="32"/>
    <w:bookmarkStart w:id="33" w:name="timing"/>
    <w:p>
      <w:pPr>
        <w:pStyle w:val="Heading3"/>
      </w:pPr>
      <w:r>
        <w:t xml:space="preserve">Timing</w:t>
      </w:r>
    </w:p>
    <w:p>
      <w:pPr>
        <w:numPr>
          <w:ilvl w:val="0"/>
          <w:numId w:val="1011"/>
        </w:numPr>
        <w:pStyle w:val="Compact"/>
      </w:pPr>
      <w:r>
        <w:rPr>
          <w:bCs/>
          <w:b/>
        </w:rPr>
        <w:t xml:space="preserve">Day 0:</w:t>
      </w:r>
      <w:r>
        <w:t xml:space="preserve"> </w:t>
      </w:r>
      <w:r>
        <w:t xml:space="preserve">Demo call ends with verbal</w:t>
      </w:r>
      <w:r>
        <w:t xml:space="preserve"> </w:t>
      </w:r>
      <w:r>
        <w:t xml:space="preserve">“</w:t>
      </w:r>
      <w:r>
        <w:t xml:space="preserve">yes, we’re in</w:t>
      </w:r>
      <w:r>
        <w:t xml:space="preserve">”</w:t>
      </w:r>
    </w:p>
    <w:p>
      <w:pPr>
        <w:numPr>
          <w:ilvl w:val="0"/>
          <w:numId w:val="1011"/>
        </w:numPr>
        <w:pStyle w:val="Compact"/>
      </w:pPr>
      <w:r>
        <w:rPr>
          <w:bCs/>
          <w:b/>
        </w:rPr>
        <w:t xml:space="preserve">Day 1:</w:t>
      </w:r>
      <w:r>
        <w:t xml:space="preserve"> </w:t>
      </w:r>
      <w:r>
        <w:t xml:space="preserve">Email sent with LOI PDF attached and DocuSign link</w:t>
      </w:r>
    </w:p>
    <w:p>
      <w:pPr>
        <w:numPr>
          <w:ilvl w:val="0"/>
          <w:numId w:val="1011"/>
        </w:numPr>
        <w:pStyle w:val="Compact"/>
      </w:pPr>
      <w:r>
        <w:rPr>
          <w:bCs/>
          <w:b/>
        </w:rPr>
        <w:t xml:space="preserve">Day 3:</w:t>
      </w:r>
      <w:r>
        <w:t xml:space="preserve"> </w:t>
      </w:r>
      <w:r>
        <w:t xml:space="preserve">Follow up if no signature —</w:t>
      </w:r>
      <w:r>
        <w:t xml:space="preserve"> </w:t>
      </w:r>
      <w:r>
        <w:t xml:space="preserve">“</w:t>
      </w:r>
      <w:r>
        <w:t xml:space="preserve">did this land OK?</w:t>
      </w:r>
      <w:r>
        <w:t xml:space="preserve">”</w:t>
      </w:r>
    </w:p>
    <w:p>
      <w:pPr>
        <w:numPr>
          <w:ilvl w:val="0"/>
          <w:numId w:val="1011"/>
        </w:numPr>
        <w:pStyle w:val="Compact"/>
      </w:pPr>
      <w:r>
        <w:rPr>
          <w:bCs/>
          <w:b/>
        </w:rPr>
        <w:t xml:space="preserve">Day 5:</w:t>
      </w:r>
      <w:r>
        <w:t xml:space="preserve"> </w:t>
      </w:r>
      <w:r>
        <w:t xml:space="preserve">If still no signature, short call to address any concerns</w:t>
      </w:r>
    </w:p>
    <w:p>
      <w:pPr>
        <w:numPr>
          <w:ilvl w:val="0"/>
          <w:numId w:val="1011"/>
        </w:numPr>
        <w:pStyle w:val="Compact"/>
      </w:pPr>
      <w:r>
        <w:rPr>
          <w:bCs/>
          <w:b/>
        </w:rPr>
        <w:t xml:space="preserve">Day 7:</w:t>
      </w:r>
      <w:r>
        <w:t xml:space="preserve"> </w:t>
      </w:r>
      <w:r>
        <w:t xml:space="preserve">If still nothing, assume they’re stalling. The design partner slot is not yours unless they sign.</w:t>
      </w:r>
    </w:p>
    <w:bookmarkEnd w:id="33"/>
    <w:bookmarkStart w:id="34" w:name="after-signature"/>
    <w:p>
      <w:pPr>
        <w:pStyle w:val="Heading3"/>
      </w:pPr>
      <w:r>
        <w:t xml:space="preserve">After Signature</w:t>
      </w:r>
    </w:p>
    <w:p>
      <w:pPr>
        <w:pStyle w:val="FirstParagraph"/>
      </w:pPr>
      <w:r>
        <w:t xml:space="preserve">Same day as signature:</w:t>
      </w:r>
    </w:p>
    <w:p>
      <w:pPr>
        <w:numPr>
          <w:ilvl w:val="0"/>
          <w:numId w:val="1012"/>
        </w:numPr>
        <w:pStyle w:val="Compact"/>
      </w:pPr>
      <w:r>
        <w:t xml:space="preserve">Create their accounts in the platform (ops_admin can do this via admin tools)</w:t>
      </w:r>
    </w:p>
    <w:p>
      <w:pPr>
        <w:numPr>
          <w:ilvl w:val="0"/>
          <w:numId w:val="1012"/>
        </w:numPr>
        <w:pStyle w:val="Compact"/>
      </w:pPr>
      <w:r>
        <w:t xml:space="preserve">Send welcome email with URLs, credentials, and training session calendar link</w:t>
      </w:r>
    </w:p>
    <w:p>
      <w:pPr>
        <w:numPr>
          <w:ilvl w:val="0"/>
          <w:numId w:val="1012"/>
        </w:numPr>
        <w:pStyle w:val="Compact"/>
      </w:pPr>
      <w:r>
        <w:t xml:space="preserve">Add them to your Slack / Notion / CRM as a Design Partner</w:t>
      </w:r>
    </w:p>
    <w:p>
      <w:pPr>
        <w:numPr>
          <w:ilvl w:val="0"/>
          <w:numId w:val="1012"/>
        </w:numPr>
        <w:pStyle w:val="Compact"/>
      </w:pPr>
      <w:r>
        <w:t xml:space="preserve">Start the 6-month fee-waiver clock — note the end date in your calendar</w:t>
      </w:r>
    </w:p>
    <w:p>
      <w:pPr>
        <w:numPr>
          <w:ilvl w:val="0"/>
          <w:numId w:val="1012"/>
        </w:numPr>
        <w:pStyle w:val="Compact"/>
      </w:pPr>
      <w:r>
        <w:t xml:space="preserve">Schedule the 1-hour training session within 5 business days</w:t>
      </w:r>
    </w:p>
    <w:p>
      <w:pPr>
        <w:numPr>
          <w:ilvl w:val="0"/>
          <w:numId w:val="1012"/>
        </w:numPr>
        <w:pStyle w:val="Compact"/>
      </w:pPr>
      <w:r>
        <w:t xml:space="preserve">Ask for pharmacy introductions in the welcome email:</w:t>
      </w:r>
      <w:r>
        <w:t xml:space="preserve"> </w:t>
      </w:r>
      <w:r>
        <w:t xml:space="preserve">“</w:t>
      </w:r>
      <w:r>
        <w:t xml:space="preserve">Now that we’re working together, which 3-5 compounding pharmacies do you prescribe through most often? Would you be open to us emailing them with your name attached?</w:t>
      </w:r>
      <w:r>
        <w:t xml:space="preserve">”</w:t>
      </w:r>
    </w:p>
    <w:bookmarkEnd w:id="34"/>
    <w:bookmarkStart w:id="35" w:name="post-training-milestones-to-track"/>
    <w:p>
      <w:pPr>
        <w:pStyle w:val="Heading3"/>
      </w:pPr>
      <w:r>
        <w:t xml:space="preserve">Post-Training Milestones to Track</w:t>
      </w:r>
    </w:p>
    <w:p>
      <w:pPr>
        <w:numPr>
          <w:ilvl w:val="0"/>
          <w:numId w:val="1013"/>
        </w:numPr>
        <w:pStyle w:val="Compact"/>
      </w:pPr>
      <w:r>
        <w:t xml:space="preserve">☐ First test prescription created (any patient, any pharmacy)</w:t>
      </w:r>
    </w:p>
    <w:p>
      <w:pPr>
        <w:numPr>
          <w:ilvl w:val="0"/>
          <w:numId w:val="1013"/>
        </w:numPr>
        <w:pStyle w:val="Compact"/>
      </w:pPr>
      <w:r>
        <w:t xml:space="preserve">☐ First real prescription signed</w:t>
      </w:r>
    </w:p>
    <w:p>
      <w:pPr>
        <w:numPr>
          <w:ilvl w:val="0"/>
          <w:numId w:val="1013"/>
        </w:numPr>
        <w:pStyle w:val="Compact"/>
      </w:pPr>
      <w:r>
        <w:t xml:space="preserve">☐ First real prescription paid by patient</w:t>
      </w:r>
    </w:p>
    <w:p>
      <w:pPr>
        <w:numPr>
          <w:ilvl w:val="0"/>
          <w:numId w:val="1013"/>
        </w:numPr>
        <w:pStyle w:val="Compact"/>
      </w:pPr>
      <w:r>
        <w:t xml:space="preserve">☐ First $22.50 platform fee earned (post-waiver) OR first tracked Rx during waiver period</w:t>
      </w:r>
    </w:p>
    <w:p>
      <w:pPr>
        <w:numPr>
          <w:ilvl w:val="0"/>
          <w:numId w:val="1013"/>
        </w:numPr>
        <w:pStyle w:val="Compact"/>
      </w:pPr>
      <w:r>
        <w:t xml:space="preserve">☐ First multi-Rx session (tests the batch flow)</w:t>
      </w:r>
    </w:p>
    <w:p>
      <w:pPr>
        <w:numPr>
          <w:ilvl w:val="0"/>
          <w:numId w:val="1013"/>
        </w:numPr>
        <w:pStyle w:val="Compact"/>
      </w:pPr>
      <w:r>
        <w:t xml:space="preserve">☐ First controlled substance prescription (tests EPCS 2FA)</w:t>
      </w:r>
    </w:p>
    <w:p>
      <w:pPr>
        <w:numPr>
          <w:ilvl w:val="0"/>
          <w:numId w:val="1013"/>
        </w:numPr>
        <w:pStyle w:val="Compact"/>
      </w:pPr>
      <w:r>
        <w:t xml:space="preserve">☐ First draft → sign flow (tests the MA/provider handoff)</w:t>
      </w:r>
    </w:p>
    <w:p>
      <w:pPr>
        <w:numPr>
          <w:ilvl w:val="0"/>
          <w:numId w:val="1013"/>
        </w:numPr>
        <w:pStyle w:val="Compact"/>
      </w:pPr>
      <w:r>
        <w:t xml:space="preserve">☐ First patient checkout completed</w:t>
      </w:r>
    </w:p>
    <w:p>
      <w:pPr>
        <w:numPr>
          <w:ilvl w:val="0"/>
          <w:numId w:val="1013"/>
        </w:numPr>
        <w:pStyle w:val="Compact"/>
      </w:pPr>
      <w:r>
        <w:t xml:space="preserve">☐ 30-day feedback interview scheduled</w:t>
      </w:r>
    </w:p>
    <w:p>
      <w:pPr>
        <w:numPr>
          <w:ilvl w:val="0"/>
          <w:numId w:val="1013"/>
        </w:numPr>
        <w:pStyle w:val="Compact"/>
      </w:pPr>
      <w:r>
        <w:t xml:space="preserve">☐ 60-day case study interview scheduled (if they opted in)</w:t>
      </w:r>
    </w:p>
    <w:p>
      <w:r>
        <w:pict>
          <v:rect style="width:0;height:1.5pt" o:hralign="center" o:hrstd="t" o:hr="t"/>
        </w:pict>
      </w:r>
    </w:p>
    <w:bookmarkEnd w:id="35"/>
    <w:bookmarkEnd w:id="36"/>
    <w:bookmarkStart w:id="37" w:name="version-control"/>
    <w:p>
      <w:pPr>
        <w:pStyle w:val="Heading2"/>
      </w:pPr>
      <w:r>
        <w:t xml:space="preserve">Version Control</w:t>
      </w:r>
    </w:p>
    <w:p>
      <w:pPr>
        <w:numPr>
          <w:ilvl w:val="0"/>
          <w:numId w:val="1014"/>
        </w:numPr>
        <w:pStyle w:val="Compact"/>
      </w:pPr>
      <w:r>
        <w:t xml:space="preserve">v1.0 — 2026-04-13 — Initial template</w:t>
      </w:r>
    </w:p>
    <w:p>
      <w:pPr>
        <w:pStyle w:val="FirstParagraph"/>
      </w:pPr>
      <w:r>
        <w:t xml:space="preserve">Update this file as you learn what works and what gets pushed back on during negotiations.</w:t>
      </w:r>
    </w:p>
    <w:bookmarkEnd w:id="37"/>
    <w:bookmarkEnd w:id="3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2026-10-27T19:27:39Z</dcterms:created>
  <dcterms:modified xsi:type="dcterms:W3CDTF">2026-10-27T19:27:39Z</dcterms:modified>
</cp:coreProperties>
</file>

<file path=docProps/custom.xml><?xml version="1.0" encoding="utf-8"?>
<Properties xmlns="http://schemas.openxmlformats.org/officeDocument/2006/custom-properties" xmlns:vt="http://schemas.openxmlformats.org/officeDocument/2006/docPropsVTypes"/>
</file>