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2.11 |</w:t>
      </w:r>
      <w:r>
        <w:t xml:space="preserve"> </w:t>
      </w:r>
      <w:r>
        <w:rPr>
          <w:bCs/>
          <w:b/>
        </w:rPr>
        <w:t xml:space="preserve">Date:</w:t>
      </w:r>
      <w:r>
        <w:t xml:space="preserve"> </w:t>
      </w:r>
      <w:r>
        <w:t xml:space="preserve">September 10,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(delivered/shipped/processing/failed/awaiting payment)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(new step 37e).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(new step 37f).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 (step 35).</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166-product catalog</w:t>
      </w:r>
      <w:r>
        <w:t xml:space="preserve"> </w:t>
      </w:r>
      <w:r>
        <w:t xml:space="preserve">— the POC seed now carries 166 compounded formulations across 79 ingredients and 13 therapeutic categories (replacing the prior five-medication seed), so the cascading builder and search steps name specific formulation cards.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(new sub-part in Part 3F),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3F/3G.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0"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3F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Stripe test card ready.</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r>
        <w:t xml:space="preserve">. You’ll type this into the real checkout page in Part 4B.</w:t>
      </w:r>
    </w:p>
    <w:p>
      <w:pPr>
        <w:pStyle w:val="FirstParagraph"/>
      </w:pPr>
      <w:r>
        <w:rPr>
          <w:bCs/>
          <w:b/>
        </w:rPr>
        <w:t xml:space="preserve">Optional:</w:t>
      </w:r>
      <w:r>
        <w:t xml:space="preserve"> </w:t>
      </w:r>
      <w:r>
        <w:t xml:space="preserve">a phone in your other hand to show the checkout page on a real mobile browser.</w:t>
      </w:r>
    </w:p>
    <w:bookmarkStart w:id="26"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6"/>
    <w:bookmarkStart w:id="27"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320"/>
        <w:gridCol w:w="1540"/>
        <w:gridCol w:w="2200"/>
        <w:gridCol w:w="2860"/>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r>
    </w:tbl>
    <w:bookmarkEnd w:id="27"/>
    <w:bookmarkStart w:id="28"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Medications</w:t>
            </w:r>
          </w:p>
        </w:tc>
        <w:tc>
          <w:tcPr/>
          <w:p>
            <w:pPr>
              <w:pStyle w:val="Compact"/>
              <w:jc w:val="left"/>
            </w:pPr>
            <w:r>
              <w:t xml:space="preserve">166 compounded formulations across 79 ingredients and 13 therapeutic categories — Women’s Health/BHRT, Men’s Health, Thyroid, Peptides, Weight Management (GLP-1), Sexual Health, Dermatology, Hair Restoration, LDN, IV Therapy, Longevity, Adrenal, Mental Health.</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 1 Awaiting Payment (Blue Cedar) — plus whatever live orders the presenter creates during walkthroughs</w:t>
            </w:r>
          </w:p>
        </w:tc>
      </w:tr>
    </w:tbl>
    <w:bookmarkEnd w:id="28"/>
    <w:bookmarkStart w:id="29"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 Awaiting Payment order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new narration beats</w:t>
      </w:r>
    </w:p>
    <w:p>
      <w:pPr>
        <w:numPr>
          <w:ilvl w:val="0"/>
          <w:numId w:val="1003"/>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3"/>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3"/>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29"/>
    <w:bookmarkEnd w:id="30"/>
    <w:bookmarkStart w:id="31"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1"/>
    <w:bookmarkStart w:id="34" w:name="part-2-login-authentication-3-minutes"/>
    <w:p>
      <w:pPr>
        <w:pStyle w:val="Heading2"/>
      </w:pPr>
      <w:r>
        <w:t xml:space="preserve">Part 2: Login &amp; Authentication (3 minutes)</w:t>
      </w:r>
    </w:p>
    <w:bookmarkStart w:id="32" w:name="show-the-login-page"/>
    <w:p>
      <w:pPr>
        <w:pStyle w:val="Heading3"/>
      </w:pPr>
      <w:r>
        <w:t xml:space="preserve">Show the Login Page</w:t>
      </w:r>
    </w:p>
    <w:p>
      <w:pPr>
        <w:numPr>
          <w:ilvl w:val="0"/>
          <w:numId w:val="1004"/>
        </w:numPr>
        <w:pStyle w:val="Compact"/>
      </w:pPr>
      <w:r>
        <w:t xml:space="preserve">Navigate to</w:t>
      </w:r>
      <w:r>
        <w:t xml:space="preserve"> </w:t>
      </w:r>
      <w:r>
        <w:rPr>
          <w:rStyle w:val="VerbatimChar"/>
        </w:rPr>
        <w:t xml:space="preserve">https://functional-medicine-infrastructure.vercel.app/login</w:t>
      </w:r>
    </w:p>
    <w:p>
      <w:pPr>
        <w:numPr>
          <w:ilvl w:val="0"/>
          <w:numId w:val="1004"/>
        </w:numPr>
        <w:pStyle w:val="Compact"/>
      </w:pPr>
      <w:r>
        <w:rPr>
          <w:bCs/>
          <w:b/>
        </w:rPr>
        <w:t xml:space="preserve">Point out:</w:t>
      </w:r>
    </w:p>
    <w:p>
      <w:pPr>
        <w:numPr>
          <w:ilvl w:val="1"/>
          <w:numId w:val="1005"/>
        </w:numPr>
        <w:pStyle w:val="Compact"/>
      </w:pPr>
      <w:r>
        <w:t xml:space="preserve">Dark gradient background with CompoundIQ branding</w:t>
      </w:r>
    </w:p>
    <w:p>
      <w:pPr>
        <w:numPr>
          <w:ilvl w:val="1"/>
          <w:numId w:val="1005"/>
        </w:numPr>
        <w:pStyle w:val="Compact"/>
      </w:pPr>
      <w:r>
        <w:t xml:space="preserve">Clean, modern design (Geist font, Tailwind CSS design system)</w:t>
      </w:r>
    </w:p>
    <w:p>
      <w:pPr>
        <w:numPr>
          <w:ilvl w:val="1"/>
          <w:numId w:val="1005"/>
        </w:numPr>
        <w:pStyle w:val="Compact"/>
      </w:pPr>
      <w:r>
        <w:t xml:space="preserve">HIPAA badge indicating healthcare-grade security</w:t>
      </w:r>
    </w:p>
    <w:p>
      <w:pPr>
        <w:numPr>
          <w:ilvl w:val="1"/>
          <w:numId w:val="1005"/>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2"/>
    <w:bookmarkStart w:id="33" w:name="demonstrate-role-based-routing"/>
    <w:p>
      <w:pPr>
        <w:pStyle w:val="Heading3"/>
      </w:pPr>
      <w:r>
        <w:t xml:space="preserve">Demonstrate Role-Based Routing</w:t>
      </w:r>
    </w:p>
    <w:p>
      <w:pPr>
        <w:numPr>
          <w:ilvl w:val="0"/>
          <w:numId w:val="1006"/>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6"/>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7"/>
        </w:numPr>
        <w:pStyle w:val="Compact"/>
      </w:pPr>
      <w:r>
        <w:t xml:space="preserve">Sign out</w:t>
      </w:r>
    </w:p>
    <w:p>
      <w:pPr>
        <w:numPr>
          <w:ilvl w:val="0"/>
          <w:numId w:val="1007"/>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08"/>
        </w:numPr>
        <w:pStyle w:val="Compact"/>
      </w:pPr>
      <w:r>
        <w:rPr>
          <w:bCs/>
          <w:b/>
        </w:rPr>
        <w:t xml:space="preserve">RBAC Demo:</w:t>
      </w:r>
      <w:r>
        <w:t xml:space="preserve"> </w:t>
      </w:r>
      <w:r>
        <w:t xml:space="preserve">While logged in as ops, navigate to</w:t>
      </w:r>
      <w:r>
        <w:t xml:space="preserve"> </w:t>
      </w:r>
      <w:r>
        <w:rPr>
          <w:rStyle w:val="VerbatimChar"/>
        </w:rPr>
        <w:t xml:space="preserve">/dashboard</w:t>
      </w:r>
    </w:p>
    <w:p>
      <w:pPr>
        <w:numPr>
          <w:ilvl w:val="0"/>
          <w:numId w:val="1008"/>
        </w:numPr>
        <w:pStyle w:val="Compact"/>
      </w:pPr>
      <w:r>
        <w:rPr>
          <w:bCs/>
          <w:b/>
        </w:rPr>
        <w:t xml:space="preserve">Point out:</w:t>
      </w:r>
      <w:r>
        <w:t xml:space="preserve"> </w:t>
      </w:r>
      <w:r>
        <w:t xml:space="preserve">“</w:t>
      </w:r>
      <w:r>
        <w:t xml:space="preserve">Access Denied</w:t>
      </w:r>
      <w:r>
        <w:t xml:space="preserve">”</w:t>
      </w:r>
      <w:r>
        <w:t xml:space="preserve"> </w:t>
      </w:r>
      <w:r>
        <w:t xml:space="preserve">page — ops cannot see the clinic app</w:t>
      </w:r>
    </w:p>
    <w:p>
      <w:pPr>
        <w:pStyle w:val="BlockText"/>
      </w:pPr>
      <w:r>
        <w:t xml:space="preserve">“</w:t>
      </w:r>
      <w:r>
        <w:t xml:space="preserve">The access control works in both directions. Ops can’t access clinic data through the clinic app, and clinic users can’t access the ops dashboard. This is enforced at every level — middleware, RLS policies, and JWT claims.</w:t>
      </w:r>
      <w:r>
        <w:t xml:space="preserve">”</w:t>
      </w:r>
    </w:p>
    <w:p>
      <w:pPr>
        <w:numPr>
          <w:ilvl w:val="0"/>
          <w:numId w:val="1009"/>
        </w:numPr>
        <w:pStyle w:val="Compact"/>
      </w:pPr>
      <w:r>
        <w:t xml:space="preserve">Sign out</w:t>
      </w:r>
    </w:p>
    <w:p>
      <w:r>
        <w:pict>
          <v:rect style="width:0;height:1.5pt" o:hralign="center" o:hrstd="t" o:hr="t"/>
        </w:pict>
      </w:r>
    </w:p>
    <w:bookmarkEnd w:id="33"/>
    <w:bookmarkEnd w:id="34"/>
    <w:bookmarkStart w:id="46" w:name="part-3-the-clinic-workflow-1520-minutes"/>
    <w:p>
      <w:pPr>
        <w:pStyle w:val="Heading2"/>
      </w:pPr>
      <w:r>
        <w:t xml:space="preserve">Part 3: The Clinic Workflow (15–20 minutes)</w:t>
      </w:r>
    </w:p>
    <w:p>
      <w:pPr>
        <w:pStyle w:val="Heading3"/>
      </w:pPr>
      <w:bookmarkStart w:id="35" w:name="stay-on-the-safe-path-alex-demo-tx"/>
      <w:r>
        <w:t xml:space="preserve">⚠️ Stay on the safe path: Alex Demo (TX)</w:t>
      </w:r>
      <w:bookmarkEnd w:id="35"/>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0"/>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0"/>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the signature pad works, and you can sign and send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quick-actions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6" w:name="a-dashboard-overview"/>
    <w:p>
      <w:pPr>
        <w:pStyle w:val="Heading3"/>
      </w:pPr>
      <w:r>
        <w:t xml:space="preserve">3A — Dashboard Overview</w:t>
      </w:r>
    </w:p>
    <w:p>
      <w:pPr>
        <w:numPr>
          <w:ilvl w:val="0"/>
          <w:numId w:val="1011"/>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11"/>
        </w:numPr>
        <w:pStyle w:val="Compact"/>
      </w:pPr>
      <w:r>
        <w:rPr>
          <w:bCs/>
          <w:b/>
        </w:rPr>
        <w:t xml:space="preserve">Point out the dashboard:</w:t>
      </w:r>
    </w:p>
    <w:p>
      <w:pPr>
        <w:numPr>
          <w:ilvl w:val="1"/>
          <w:numId w:val="1012"/>
        </w:numPr>
        <w:pStyle w:val="Compact"/>
      </w:pPr>
      <w:r>
        <w:t xml:space="preserve">KPI cards at top (Total Orders, Revenue, Pending Payment, Completed)</w:t>
      </w:r>
    </w:p>
    <w:p>
      <w:pPr>
        <w:numPr>
          <w:ilvl w:val="1"/>
          <w:numId w:val="1012"/>
        </w:numPr>
        <w:pStyle w:val="Compact"/>
      </w:pPr>
      <w:r>
        <w:t xml:space="preserve">Order table with status badges (colored pills showing order state)</w:t>
      </w:r>
    </w:p>
    <w:p>
      <w:pPr>
        <w:numPr>
          <w:ilvl w:val="1"/>
          <w:numId w:val="1012"/>
        </w:numPr>
        <w:pStyle w:val="Compact"/>
      </w:pPr>
      <w:r>
        <w:t xml:space="preserve">Table/Kanban toggle in the top right</w:t>
      </w:r>
    </w:p>
    <w:p>
      <w:pPr>
        <w:numPr>
          <w:ilvl w:val="0"/>
          <w:numId w:val="1011"/>
        </w:numPr>
        <w:pStyle w:val="Compact"/>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They can see all orders at a glance, filter by status, and switch between table and kanban views.</w:t>
      </w:r>
      <w:r>
        <w:t xml:space="preserve">”</w:t>
      </w:r>
    </w:p>
    <w:p>
      <w:pPr>
        <w:numPr>
          <w:ilvl w:val="0"/>
          <w:numId w:val="1013"/>
        </w:numPr>
        <w:pStyle w:val="Compact"/>
      </w:pPr>
      <w:r>
        <w:rPr>
          <w:bCs/>
          <w:b/>
        </w:rPr>
        <w:t xml:space="preserve">Point out the sidebar:</w:t>
      </w:r>
    </w:p>
    <w:p>
      <w:pPr>
        <w:numPr>
          <w:ilvl w:val="1"/>
          <w:numId w:val="1014"/>
        </w:numPr>
        <w:pStyle w:val="Compact"/>
      </w:pPr>
      <w:r>
        <w:t xml:space="preserve">Navigation icons for Dashboard / New Prescription / Settings</w:t>
      </w:r>
    </w:p>
    <w:p>
      <w:pPr>
        <w:numPr>
          <w:ilvl w:val="1"/>
          <w:numId w:val="1014"/>
        </w:numPr>
        <w:pStyle w:val="Compact"/>
      </w:pPr>
      <w:r>
        <w:t xml:space="preserve">Active page highlighted</w:t>
      </w:r>
    </w:p>
    <w:p>
      <w:pPr>
        <w:numPr>
          <w:ilvl w:val="1"/>
          <w:numId w:val="1014"/>
        </w:numPr>
        <w:pStyle w:val="Compact"/>
      </w:pPr>
      <w:r>
        <w:t xml:space="preserve">Sign-out control at the bottom</w:t>
      </w:r>
    </w:p>
    <w:p>
      <w:pPr>
        <w:pStyle w:val="BlockText"/>
      </w:pPr>
      <w:r>
        <w:t xml:space="preserve">“</w:t>
      </w:r>
      <w:r>
        <w:t xml:space="preserve">The sidebar gives quick access to the core clinic flows.</w:t>
      </w:r>
      <w:r>
        <w:t xml:space="preserve">”</w:t>
      </w:r>
    </w:p>
    <w:bookmarkEnd w:id="36"/>
    <w:bookmarkStart w:id="37" w:name="X4da94081b50c640a1e576428d4a30f3f544fe5a"/>
    <w:p>
      <w:pPr>
        <w:pStyle w:val="Heading3"/>
      </w:pPr>
      <w:r>
        <w:t xml:space="preserve">3B — Patient &amp; Provider Selection (New in Phase 15)</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r>
        <w:t xml:space="preserve"> </w:t>
      </w:r>
      <w:r>
        <w:t xml:space="preserve">button</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now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the MA does is select the patient. The patient’s shipping state auto-populates for all pharmacy searches — no manual entry. The provider is also selected upfront.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w:t>
      </w:r>
    </w:p>
    <w:p>
      <w:pPr>
        <w:numPr>
          <w:ilvl w:val="0"/>
          <w:numId w:val="1017"/>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8"/>
        </w:numPr>
        <w:pStyle w:val="Compact"/>
      </w:pPr>
      <w:r>
        <w:t xml:space="preserve">Click</w:t>
      </w:r>
      <w:r>
        <w:t xml:space="preserve"> </w:t>
      </w:r>
      <w:r>
        <w:rPr>
          <w:bCs/>
          <w:b/>
        </w:rPr>
        <w:t xml:space="preserve">“</w:t>
      </w:r>
      <w:r>
        <w:rPr>
          <w:bCs/>
          <w:b/>
        </w:rPr>
        <w:t xml:space="preserve">Continue to Pharmacy Search</w:t>
      </w:r>
      <w:r>
        <w:rPr>
          <w:bCs/>
          <w:b/>
        </w:rPr>
        <w:t xml:space="preserve">”</w:t>
      </w:r>
    </w:p>
    <w:bookmarkEnd w:id="37"/>
    <w:bookmarkStart w:id="38" w:name="Xa6621a959da8794ec82063a81ca579b35b7faab"/>
    <w:p>
      <w:pPr>
        <w:pStyle w:val="Heading3"/>
      </w:pPr>
      <w:r>
        <w:t xml:space="preserve">3C — Quick Actions: Favorites + Protocols (New in Phase 18)</w:t>
      </w:r>
    </w:p>
    <w:p>
      <w:pPr>
        <w:numPr>
          <w:ilvl w:val="0"/>
          <w:numId w:val="1019"/>
        </w:numPr>
      </w:pPr>
      <w:r>
        <w:rPr>
          <w:bCs/>
          <w:b/>
        </w:rPr>
        <w:t xml:space="preserve">Point out the session banner</w:t>
      </w:r>
      <w:r>
        <w:t xml:space="preserve"> </w:t>
      </w:r>
      <w:r>
        <w:t xml:space="preserve">at the top — Alex Demo + Sarah Chen pinned</w:t>
      </w:r>
    </w:p>
    <w:p>
      <w:pPr>
        <w:numPr>
          <w:ilvl w:val="0"/>
          <w:numId w:val="1019"/>
        </w:numPr>
      </w:pPr>
      <w:r>
        <w:rPr>
          <w:bCs/>
          <w:b/>
        </w:rPr>
        <w:t xml:space="preserve">Point out the Quick Actions Panel</w:t>
      </w:r>
      <w:r>
        <w:t xml:space="preserve"> </w:t>
      </w:r>
      <w:r>
        <w:t xml:space="preserve">with two tabs:</w:t>
      </w:r>
      <w:r>
        <w:t xml:space="preserve"> </w:t>
      </w:r>
      <w:r>
        <w:rPr>
          <w:bCs/>
          <w:b/>
        </w:rPr>
        <w:t xml:space="preserve">Favorites</w:t>
      </w:r>
      <w:r>
        <w:t xml:space="preserve"> </w:t>
      </w:r>
      <w:r>
        <w:t xml:space="preserve">and</w:t>
      </w:r>
      <w:r>
        <w:t xml:space="preserve"> </w:t>
      </w:r>
      <w:r>
        <w:rPr>
          <w:bCs/>
          <w:b/>
        </w:rPr>
        <w:t xml:space="preserve">Protocols</w:t>
      </w:r>
    </w:p>
    <w:p>
      <w:pPr>
        <w:numPr>
          <w:ilvl w:val="0"/>
          <w:numId w:val="1019"/>
        </w:numPr>
      </w:pPr>
      <w:r>
        <w:rPr>
          <w:bCs/>
          <w:b/>
        </w:rPr>
        <w:t xml:space="preserve">Favorites tab</w:t>
      </w:r>
      <w:r>
        <w:t xml:space="preserve"> </w:t>
      </w:r>
      <w:r>
        <w:t xml:space="preserve">— the tab header reads</w:t>
      </w:r>
      <w:r>
        <w:t xml:space="preserve"> </w:t>
      </w:r>
      <w:r>
        <w:rPr>
          <w:bCs/>
          <w:b/>
        </w:rPr>
        <w:t xml:space="preserve">Favorites (10)</w:t>
      </w:r>
      <w:r>
        <w:t xml:space="preserve">. The list is ordered by use count, most-used first:</w:t>
      </w:r>
    </w:p>
    <w:p>
      <w:pPr>
        <w:numPr>
          <w:ilvl w:val="1"/>
          <w:numId w:val="1020"/>
        </w:numPr>
        <w:pStyle w:val="Compact"/>
      </w:pPr>
      <w:r>
        <w:t xml:space="preserve">Semaglutide 0.5mg weekly</w:t>
      </w:r>
    </w:p>
    <w:p>
      <w:pPr>
        <w:numPr>
          <w:ilvl w:val="1"/>
          <w:numId w:val="1020"/>
        </w:numPr>
        <w:pStyle w:val="Compact"/>
      </w:pPr>
      <w:r>
        <w:t xml:space="preserve">Standard TRT — Cyp 200mg</w:t>
      </w:r>
    </w:p>
    <w:p>
      <w:pPr>
        <w:numPr>
          <w:ilvl w:val="1"/>
          <w:numId w:val="1020"/>
        </w:numPr>
        <w:pStyle w:val="Compact"/>
      </w:pPr>
      <w:r>
        <w:t xml:space="preserve">TRT Cyp 200 — Weekly</w:t>
      </w:r>
    </w:p>
    <w:p>
      <w:pPr>
        <w:numPr>
          <w:ilvl w:val="1"/>
          <w:numId w:val="1020"/>
        </w:numPr>
        <w:pStyle w:val="Compact"/>
      </w:pPr>
      <w:r>
        <w:t xml:space="preserve">Estradiol 0.1% Cream</w:t>
      </w:r>
    </w:p>
    <w:p>
      <w:pPr>
        <w:numPr>
          <w:ilvl w:val="1"/>
          <w:numId w:val="1020"/>
        </w:numPr>
        <w:pStyle w:val="Compact"/>
      </w:pPr>
      <w:r>
        <w:t xml:space="preserve">LDN Starter — Titration</w:t>
      </w:r>
    </w:p>
    <w:p>
      <w:pPr>
        <w:numPr>
          <w:ilvl w:val="1"/>
          <w:numId w:val="1020"/>
        </w:numPr>
        <w:pStyle w:val="Compact"/>
      </w:pPr>
      <w:r>
        <w:t xml:space="preserve">Biest 80/20</w:t>
      </w:r>
    </w:p>
    <w:p>
      <w:pPr>
        <w:numPr>
          <w:ilvl w:val="1"/>
          <w:numId w:val="1020"/>
        </w:numPr>
        <w:pStyle w:val="Compact"/>
      </w:pPr>
      <w:r>
        <w:t xml:space="preserve">LDN 4.5 Maintenance</w:t>
      </w:r>
    </w:p>
    <w:p>
      <w:pPr>
        <w:numPr>
          <w:ilvl w:val="1"/>
          <w:numId w:val="1020"/>
        </w:numPr>
        <w:pStyle w:val="Compact"/>
      </w:pPr>
      <w:r>
        <w:t xml:space="preserve">BPC-157 daily cycling</w:t>
      </w:r>
    </w:p>
    <w:p>
      <w:pPr>
        <w:numPr>
          <w:ilvl w:val="1"/>
          <w:numId w:val="1020"/>
        </w:numPr>
        <w:pStyle w:val="Compact"/>
      </w:pPr>
      <w:r>
        <w:t xml:space="preserve">NAD+ Longevity</w:t>
      </w:r>
    </w:p>
    <w:p>
      <w:pPr>
        <w:numPr>
          <w:ilvl w:val="1"/>
          <w:numId w:val="1020"/>
        </w:numPr>
        <w:pStyle w:val="Compact"/>
      </w:pPr>
      <w:r>
        <w:t xml:space="preserve">Tadalafil 10 Troche</w:t>
      </w:r>
    </w:p>
    <w:p>
      <w:pPr>
        <w:numPr>
          <w:ilvl w:val="0"/>
          <w:numId w:val="1000"/>
        </w:numPr>
      </w:pPr>
      <w:r>
        <w:t xml:space="preserve">Note the titration/cycling badges on the relevant favorites (LDN Starter, BPC-157).</w:t>
      </w:r>
    </w:p>
    <w:p>
      <w:pPr>
        <w:pStyle w:val="BlockText"/>
      </w:pPr>
      <w:r>
        <w:t xml:space="preserve">“</w:t>
      </w:r>
      <w:r>
        <w:t xml:space="preserve">Provider favorites let you reorder common prescriptions in one click. No searching, no configuring — just click and go straight to pricing. Clicking a favorite lands directly on the margin page with the live wholesale price and the saved sig carried over.</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per-doctor — Dr. Patel’s TRT setups and Dr. Rodriguez’s BHRT setups show up in Dr. Chen’s list too, ordered by how often the clinic actually uses them.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1"/>
        </w:numPr>
        <w:pStyle w:val="Compact"/>
      </w:pPr>
      <w:r>
        <w:t xml:space="preserve">Click</w:t>
      </w:r>
      <w:r>
        <w:t xml:space="preserve"> </w:t>
      </w:r>
      <w:r>
        <w:rPr>
          <w:bCs/>
          <w:b/>
        </w:rPr>
        <w:t xml:space="preserve">Protocols tab</w:t>
      </w:r>
      <w:r>
        <w:t xml:space="preserve"> </w:t>
      </w:r>
      <w:r>
        <w:t xml:space="preserve">— the tab header reads</w:t>
      </w:r>
      <w:r>
        <w:t xml:space="preserve"> </w:t>
      </w:r>
      <w:r>
        <w:rPr>
          <w:bCs/>
          <w:b/>
        </w:rPr>
        <w:t xml:space="preserve">Protocols (3)</w:t>
      </w:r>
      <w:r>
        <w:t xml:space="preserve">:</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p>
    <w:p>
      <w:pPr>
        <w:numPr>
          <w:ilvl w:val="0"/>
          <w:numId w:val="1021"/>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1"/>
        </w:numPr>
        <w:pStyle w:val="Compact"/>
      </w:pPr>
      <w:r>
        <w:rPr>
          <w:bCs/>
          <w:b/>
        </w:rPr>
        <w:t xml:space="preserve">Point out</w:t>
      </w:r>
      <w:r>
        <w:t xml:space="preserve"> </w:t>
      </w:r>
      <w:r>
        <w:t xml:space="preserve">the</w:t>
      </w:r>
      <w:r>
        <w:t xml:space="preserve"> </w:t>
      </w:r>
      <w:r>
        <w:t xml:space="preserve">“</w:t>
      </w:r>
      <w:r>
        <w:t xml:space="preserve">Load 3 Medications into Session</w:t>
      </w:r>
      <w:r>
        <w:t xml:space="preserve">”</w:t>
      </w:r>
      <w:r>
        <w:t xml:space="preserve"> </w:t>
      </w:r>
      <w:r>
        <w:t xml:space="preserve">button</w:t>
      </w:r>
    </w:p>
    <w:p>
      <w:pPr>
        <w:pStyle w:val="BlockText"/>
      </w:pPr>
      <w:r>
        <w:t xml:space="preserve">“</w:t>
      </w:r>
      <w:r>
        <w:t xml:space="preserve">Protocol templates are a market-first feature. One click adds an entire multi-medication protocol to the session.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not a placeholder.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bookmarkEnd w:id="38"/>
    <w:bookmarkStart w:id="39" w:name="X45a8c73104b8878f17c41b11a2668f2da96e966"/>
    <w:p>
      <w:pPr>
        <w:pStyle w:val="Heading3"/>
      </w:pPr>
      <w:r>
        <w:t xml:space="preserve">3C-1 — The State-Licensure Guard (New in v2.10)</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pStyle w:val="FirstParagraph"/>
      </w:pPr>
      <w:r>
        <w:t xml:space="preserve">16a. 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Keep</w:t>
      </w:r>
      <w:r>
        <w:t xml:space="preserve"> </w:t>
      </w:r>
      <w:r>
        <w:rPr>
          <w:bCs/>
          <w:b/>
        </w:rPr>
        <w:t xml:space="preserve">Sarah Chen</w:t>
      </w:r>
      <w:r>
        <w:t xml:space="preserve"> </w:t>
      </w:r>
      <w:r>
        <w:t xml:space="preserve">as the provider and continue.</w:t>
      </w:r>
    </w:p>
    <w:p>
      <w:pPr>
        <w:pStyle w:val="BodyText"/>
      </w:pPr>
      <w:r>
        <w:t xml:space="preserve">16b. Land on the Quick Actions Panel and stay on the</w:t>
      </w:r>
      <w:r>
        <w:t xml:space="preserve"> </w:t>
      </w:r>
      <w:r>
        <w:rPr>
          <w:bCs/>
          <w:b/>
        </w:rPr>
        <w:t xml:space="preserve">Favorites</w:t>
      </w:r>
      <w:r>
        <w:t xml:space="preserve"> </w:t>
      </w:r>
      <w:r>
        <w:t xml:space="preserve">tab.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pStyle w:val="BodyText"/>
      </w:pPr>
      <w:r>
        <w:t xml:space="preserve">16c.</w:t>
      </w:r>
      <w:r>
        <w:t xml:space="preserve"> </w:t>
      </w: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pStyle w:val="FirstParagraph"/>
      </w:pPr>
      <w:r>
        <w:t xml:space="preserve">16d.</w:t>
      </w:r>
      <w:r>
        <w:t xml:space="preserve"> </w:t>
      </w: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pStyle w:val="BodyText"/>
      </w:pPr>
      <w:r>
        <w:t xml:space="preserve">16e.</w:t>
      </w:r>
      <w:r>
        <w:t xml:space="preserve"> </w:t>
      </w:r>
      <w:r>
        <w:rPr>
          <w:bCs/>
          <w:b/>
        </w:rPr>
        <w:t xml:space="preserve">Switch back to Alex Demo (TX)</w:t>
      </w:r>
      <w:r>
        <w:t xml:space="preserve"> </w:t>
      </w:r>
      <w:r>
        <w:t xml:space="preserve">and show the same Favorites tab with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BodyText"/>
      </w:pPr>
      <w:r>
        <w:t xml:space="preserve">16f.</w:t>
      </w:r>
      <w:r>
        <w:t xml:space="preserve"> </w:t>
      </w:r>
      <w:r>
        <w:rPr>
          <w:bCs/>
          <w:b/>
        </w:rPr>
        <w:t xml:space="preserve">If they push on protocols:</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pStyle w:val="BodyText"/>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39"/>
    <w:bookmarkStart w:id="40" w:name="Xb5840cf837e2859a3f664b030817a540ff74a59"/>
    <w:p>
      <w:pPr>
        <w:pStyle w:val="Heading3"/>
      </w:pPr>
      <w:r>
        <w:t xml:space="preserve">3D — Cascading Prescription Builder (New in Phase 17)</w:t>
      </w:r>
    </w:p>
    <w:p>
      <w:pPr>
        <w:numPr>
          <w:ilvl w:val="0"/>
          <w:numId w:val="1022"/>
        </w:numPr>
        <w:pStyle w:val="Compact"/>
      </w:pPr>
      <w:r>
        <w:t xml:space="preserve">Go back to Configure Prescription. 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2"/>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2"/>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3"/>
        </w:numPr>
        <w:pStyle w:val="Compact"/>
      </w:pPr>
      <w:r>
        <w:t xml:space="preserve">Dose amount + unit + frequency dropdowns</w:t>
      </w:r>
    </w:p>
    <w:p>
      <w:pPr>
        <w:numPr>
          <w:ilvl w:val="1"/>
          <w:numId w:val="1023"/>
        </w:numPr>
        <w:pStyle w:val="Compact"/>
      </w:pPr>
      <w:r>
        <w:t xml:space="preserve">Timing dropdown (In the morning, At bedtime, etc.)</w:t>
      </w:r>
    </w:p>
    <w:p>
      <w:pPr>
        <w:numPr>
          <w:ilvl w:val="1"/>
          <w:numId w:val="1023"/>
        </w:numPr>
        <w:pStyle w:val="Compact"/>
      </w:pPr>
      <w:r>
        <w:t xml:space="preserve">Duration dropdown (For 30 days, Ongoing, etc.)</w:t>
      </w:r>
    </w:p>
    <w:p>
      <w:pPr>
        <w:numPr>
          <w:ilvl w:val="1"/>
          <w:numId w:val="1023"/>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0"/>
          <w:numId w:val="1022"/>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p>
    <w:p>
      <w:pPr>
        <w:numPr>
          <w:ilvl w:val="0"/>
          <w:numId w:val="1022"/>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4"/>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5"/>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p>
    <w:p>
      <w:pPr>
        <w:numPr>
          <w:ilvl w:val="0"/>
          <w:numId w:val="1025"/>
        </w:numPr>
        <w:pStyle w:val="Compact"/>
      </w:pPr>
      <w:r>
        <w:t xml:space="preserve">Select quantity, refills.</w:t>
      </w:r>
      <w:r>
        <w:t xml:space="preserve"> </w:t>
      </w:r>
      <w:r>
        <w:rPr>
          <w:bCs/>
          <w:b/>
        </w:rPr>
        <w:t xml:space="preserve">Point out the star button</w:t>
      </w:r>
      <w:r>
        <w:t xml:space="preserve"> </w:t>
      </w:r>
      <w:r>
        <w:t xml:space="preserve">next to</w:t>
      </w:r>
      <w:r>
        <w:t xml:space="preserve"> </w:t>
      </w:r>
      <w:r>
        <w:t xml:space="preserve">“</w:t>
      </w:r>
      <w:r>
        <w:t xml:space="preserve">Continue — Set Retail Price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6"/>
        </w:numPr>
        <w:pStyle w:val="Compact"/>
      </w:pPr>
      <w:r>
        <w:t xml:space="preserve">Click</w:t>
      </w:r>
      <w:r>
        <w:t xml:space="preserve"> </w:t>
      </w:r>
      <w:r>
        <w:rPr>
          <w:bCs/>
          <w:b/>
        </w:rPr>
        <w:t xml:space="preserve">“</w:t>
      </w:r>
      <w:r>
        <w:rPr>
          <w:bCs/>
          <w:b/>
        </w:rPr>
        <w:t xml:space="preserve">Continue — Set Retail Price</w:t>
      </w:r>
      <w:r>
        <w:rPr>
          <w:bCs/>
          <w:b/>
        </w:rPr>
        <w:t xml:space="preserve">”</w:t>
      </w:r>
    </w:p>
    <w:bookmarkEnd w:id="40"/>
    <w:bookmarkStart w:id="41"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bundle total are all smaller.</w:t>
      </w:r>
    </w:p>
    <w:p>
      <w:pPr>
        <w:numPr>
          <w:ilvl w:val="0"/>
          <w:numId w:val="1027"/>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w:t>
      </w:r>
    </w:p>
    <w:p>
      <w:pPr>
        <w:numPr>
          <w:ilvl w:val="0"/>
          <w:numId w:val="1027"/>
        </w:numPr>
        <w:pStyle w:val="Compact"/>
      </w:pPr>
      <w:r>
        <w:t xml:space="preserve">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(currently 40%), so the MA never types a number unless they want to override. Clicking 2x bumps it to a higher margin. The clinic sees exactly what they earn before committing. The sig is already pre-filled from the builder.</w:t>
      </w:r>
      <w:r>
        <w:t xml:space="preserve">”</w:t>
      </w:r>
    </w:p>
    <w:p>
      <w:pPr>
        <w:numPr>
          <w:ilvl w:val="0"/>
          <w:numId w:val="1028"/>
        </w:numPr>
        <w:pStyle w:val="Compact"/>
      </w:pPr>
      <w:r>
        <w:rPr>
          <w:bCs/>
          <w:b/>
        </w:rPr>
        <w:t xml:space="preserve">Point out the three action buttons:</w:t>
      </w:r>
    </w:p>
    <w:p>
      <w:pPr>
        <w:numPr>
          <w:ilvl w:val="1"/>
          <w:numId w:val="1029"/>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29"/>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29"/>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The MA has three choices. They can add more prescriptions for the same patient, go straight to review, or save it as a draft for the provider to sign later.</w:t>
      </w:r>
      <w:r>
        <w:t xml:space="preserve">”</w:t>
      </w:r>
    </w:p>
    <w:p>
      <w:pPr>
        <w:numPr>
          <w:ilvl w:val="0"/>
          <w:numId w:val="1030"/>
        </w:numPr>
      </w:pPr>
      <w:r>
        <w:t xml:space="preserve">Click</w:t>
      </w:r>
      <w:r>
        <w:t xml:space="preserve"> </w:t>
      </w:r>
      <w:r>
        <w:rPr>
          <w:bCs/>
          <w:b/>
        </w:rPr>
        <w:t xml:space="preserve">“</w:t>
      </w:r>
      <w:r>
        <w:rPr>
          <w:bCs/>
          <w:b/>
        </w:rPr>
        <w:t xml:space="preserve">Add &amp; Search Another</w:t>
      </w:r>
      <w:r>
        <w:rPr>
          <w:bCs/>
          <w:b/>
        </w:rPr>
        <w:t xml:space="preserve">”</w:t>
      </w:r>
    </w:p>
    <w:p>
      <w:pPr>
        <w:numPr>
          <w:ilvl w:val="0"/>
          <w:numId w:val="1030"/>
        </w:numPr>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0"/>
        </w:numPr>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0"/>
        </w:numPr>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w:t>
      </w:r>
    </w:p>
    <w:p>
      <w:pPr>
        <w:numPr>
          <w:ilvl w:val="0"/>
          <w:numId w:val="1030"/>
        </w:numPr>
      </w:pPr>
      <w:r>
        <w:t xml:space="preserve">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 Click</w:t>
      </w:r>
      <w:r>
        <w:t xml:space="preserve"> </w:t>
      </w:r>
      <w:r>
        <w:rPr>
          <w:bCs/>
          <w:b/>
        </w:rPr>
        <w:t xml:space="preserve">“</w:t>
      </w:r>
      <w:r>
        <w:rPr>
          <w:bCs/>
          <w:b/>
        </w:rPr>
        <w:t xml:space="preserve">Review &amp; Send (2)</w:t>
      </w:r>
      <w:r>
        <w:rPr>
          <w:bCs/>
          <w:b/>
        </w:rPr>
        <w:t xml:space="preserve">”</w:t>
      </w:r>
    </w:p>
    <w:bookmarkEnd w:id="41"/>
    <w:bookmarkStart w:id="42" w:name="Xaca1764a3bd2632ace4b2a541efb2ce97884cdd"/>
    <w:p>
      <w:pPr>
        <w:pStyle w:val="Heading3"/>
      </w:pPr>
      <w:r>
        <w:t xml:space="preserve">3F — Batch Review, Interaction Alerts &amp; EPCS 2FA (New in Phase 19)</w:t>
      </w:r>
    </w:p>
    <w:p>
      <w:pPr>
        <w:numPr>
          <w:ilvl w:val="0"/>
          <w:numId w:val="1031"/>
        </w:numPr>
        <w:pStyle w:val="Compact"/>
      </w:pPr>
      <w:r>
        <w:rPr>
          <w:bCs/>
          <w:b/>
        </w:rPr>
        <w:t xml:space="preserve">Point out the batch review page:</w:t>
      </w:r>
    </w:p>
    <w:p>
      <w:pPr>
        <w:numPr>
          <w:ilvl w:val="1"/>
          <w:numId w:val="1032"/>
        </w:numPr>
        <w:pStyle w:val="Compact"/>
      </w:pPr>
      <w:r>
        <w:rPr>
          <w:bCs/>
          <w:b/>
        </w:rPr>
        <w:t xml:space="preserve">Controlled Substance banner</w:t>
      </w:r>
      <w:r>
        <w:t xml:space="preserve"> </w:t>
      </w:r>
      <w:r>
        <w:t xml:space="preserve">at the top when any prescription in the session is DEA-scheduled (appears because Testosterone is Schedule 3)</w:t>
      </w:r>
    </w:p>
    <w:p>
      <w:pPr>
        <w:numPr>
          <w:ilvl w:val="1"/>
          <w:numId w:val="1032"/>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2"/>
        </w:numPr>
        <w:pStyle w:val="Compact"/>
      </w:pPr>
      <w:r>
        <w:t xml:space="preserve">Session banner showing the prescription count</w:t>
      </w:r>
    </w:p>
    <w:p>
      <w:pPr>
        <w:numPr>
          <w:ilvl w:val="1"/>
          <w:numId w:val="1032"/>
        </w:numPr>
        <w:pStyle w:val="Compact"/>
      </w:pPr>
      <w:r>
        <w:t xml:space="preserve">One prescription card per medication with pharmacy, pricing, and sig</w:t>
      </w:r>
    </w:p>
    <w:p>
      <w:pPr>
        <w:numPr>
          <w:ilvl w:val="1"/>
          <w:numId w:val="1032"/>
        </w:numPr>
        <w:pStyle w:val="Compact"/>
      </w:pPr>
      <w:r>
        <w:t xml:space="preserve">Combined totals (total retail, platform fee, total clinic payout)</w:t>
      </w:r>
    </w:p>
    <w:p>
      <w:pPr>
        <w:numPr>
          <w:ilvl w:val="1"/>
          <w:numId w:val="1032"/>
        </w:numPr>
        <w:pStyle w:val="Compact"/>
      </w:pPr>
      <w:r>
        <w:t xml:space="preserve">“</w:t>
      </w:r>
      <w:r>
        <w:t xml:space="preserve">Remove</w:t>
      </w:r>
      <w:r>
        <w:t xml:space="preserve">”</w:t>
      </w:r>
      <w:r>
        <w:t xml:space="preserve"> </w:t>
      </w:r>
      <w:r>
        <w:t xml:space="preserve">link on each card</w:t>
      </w:r>
    </w:p>
    <w:p>
      <w:pPr>
        <w:numPr>
          <w:ilvl w:val="1"/>
          <w:numId w:val="1032"/>
        </w:numPr>
        <w:pStyle w:val="Compact"/>
      </w:pPr>
      <w:r>
        <w:t xml:space="preserve">“</w:t>
      </w:r>
      <w:r>
        <w:t xml:space="preserve">+ Add Another Prescription</w:t>
      </w:r>
      <w:r>
        <w:t xml:space="preserve">”</w:t>
      </w:r>
      <w:r>
        <w:t xml:space="preserve"> </w:t>
      </w:r>
      <w:r>
        <w:t xml:space="preserve">button</w:t>
      </w:r>
    </w:p>
    <w:p>
      <w:pPr>
        <w:numPr>
          <w:ilvl w:val="1"/>
          <w:numId w:val="1032"/>
        </w:numPr>
        <w:pStyle w:val="Compact"/>
      </w:pPr>
      <w:r>
        <w:t xml:space="preserve">Single provider signature pad</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 and force the EPCS 2FA step before signing.</w:t>
      </w:r>
      <w:r>
        <w:t xml:space="preserve">”</w:t>
      </w:r>
    </w:p>
    <w:p>
      <w:pPr>
        <w:numPr>
          <w:ilvl w:val="0"/>
          <w:numId w:val="1033"/>
        </w:numPr>
        <w:pStyle w:val="Compact"/>
      </w:pPr>
      <w:r>
        <w:rPr>
          <w:bCs/>
          <w:b/>
        </w:rPr>
        <w:t xml:space="preserve">Point out</w:t>
      </w:r>
      <w:r>
        <w:t xml:space="preserve"> </w:t>
      </w:r>
      <w:r>
        <w:t xml:space="preserve">that the send button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 — then</w:t>
      </w:r>
      <w:r>
        <w:t xml:space="preserve"> </w:t>
      </w:r>
      <w:r>
        <w:rPr>
          <w:bCs/>
          <w:b/>
        </w:rPr>
        <w:t xml:space="preserve">sign</w:t>
      </w:r>
      <w:r>
        <w:t xml:space="preserve"> </w:t>
      </w:r>
      <w:r>
        <w:t xml:space="preserve">on the signature pad and watch the hint clear and the button enable</w:t>
      </w:r>
    </w:p>
    <w:p>
      <w:pPr>
        <w:pStyle w:val="BlockText"/>
      </w:pPr>
      <w:r>
        <w:t xml:space="preserve">“</w:t>
      </w:r>
      <w:r>
        <w:t xml:space="preserve">No silent failures here. Until the provider actually draws a signature, the send button is disabled and says exactly why. The moment the signature lands, it lights up.</w:t>
      </w:r>
      <w:r>
        <w:t xml:space="preserve">”</w:t>
      </w:r>
    </w:p>
    <w:p>
      <w:pPr>
        <w:numPr>
          <w:ilvl w:val="0"/>
          <w:numId w:val="1034"/>
        </w:numPr>
        <w:pStyle w:val="Compact"/>
      </w:pPr>
      <w:r>
        <w:t xml:space="preserve">Click</w:t>
      </w:r>
      <w:r>
        <w:t xml:space="preserve"> </w:t>
      </w:r>
      <w:r>
        <w:rPr>
          <w:bCs/>
          <w:b/>
        </w:rPr>
        <w:t xml:space="preserve">“</w:t>
      </w:r>
      <w:r>
        <w:rPr>
          <w:bCs/>
          <w:b/>
        </w:rPr>
        <w:t xml:space="preserve">Sign &amp; Send All 2 Prescriptions</w:t>
      </w:r>
      <w:r>
        <w:rPr>
          <w:bCs/>
          <w:b/>
        </w:rPr>
        <w:t xml:space="preserve">”</w:t>
      </w:r>
      <w:r>
        <w:t xml:space="preserve"> </w:t>
      </w:r>
      <w:r>
        <w:t xml:space="preserve">→ Click</w:t>
      </w:r>
      <w:r>
        <w:t xml:space="preserve"> </w:t>
      </w:r>
      <w:r>
        <w:rPr>
          <w:bCs/>
          <w:b/>
        </w:rPr>
        <w:t xml:space="preserve">“</w:t>
      </w:r>
      <w:r>
        <w:rPr>
          <w:bCs/>
          <w:b/>
        </w:rPr>
        <w:t xml:space="preserve">Confirm &amp; Send</w:t>
      </w:r>
      <w:r>
        <w:rPr>
          <w:bCs/>
          <w:b/>
        </w:rPr>
        <w:t xml:space="preserve">”</w:t>
      </w:r>
      <w:r>
        <w:t xml:space="preserve"> </w:t>
      </w:r>
      <w:r>
        <w:t xml:space="preserve">— watch the progress messages. (The EPCS 2FA modal surfaces here because Testosterone is Schedule 3 — enter the 6-digit code from your authenticator app.)</w:t>
      </w:r>
    </w:p>
    <w:p>
      <w:pPr>
        <w:numPr>
          <w:ilvl w:val="0"/>
          <w:numId w:val="1034"/>
        </w:numPr>
        <w:pStyle w:val="Compact"/>
      </w:pPr>
      <w:r>
        <w:t xml:space="preserve">Navigate back to the dashboard to see the resulting orders — both should appear as</w:t>
      </w:r>
      <w:r>
        <w:t xml:space="preserve"> </w:t>
      </w:r>
      <w:r>
        <w:t xml:space="preserve">“</w:t>
      </w:r>
      <w:r>
        <w:t xml:space="preserve">Awaiting Payment</w:t>
      </w:r>
      <w:r>
        <w:t xml:space="preserve">”</w:t>
      </w:r>
    </w:p>
    <w:p>
      <w:pPr>
        <w:pStyle w:val="BlockText"/>
      </w:pPr>
      <w:r>
        <w:rPr>
          <w:bCs/>
          <w:b/>
        </w:rPr>
        <w:t xml:space="preserve">EPCS 2FA Demo Tip:</w:t>
      </w:r>
      <w:r>
        <w:t xml:space="preserve"> </w:t>
      </w:r>
      <w:r>
        <w:t xml:space="preserve">The EPCS 2FA modal (6-digit TOTP input, DEA 21 CFR 1311 citation) triggers on the batch Review &amp; Send flow whenever any DEA-scheduled compound is present in the current prescription session. Because Steps 31–36 already added Testosterone (Schedule 3) to the session, clicking</w:t>
      </w:r>
      <w:r>
        <w:t xml:space="preserve"> </w:t>
      </w:r>
      <w:r>
        <w:t xml:space="preserve">“</w:t>
      </w:r>
      <w:r>
        <w:t xml:space="preserve">Sign &amp; Send All Prescriptions</w:t>
      </w:r>
      <w:r>
        <w:t xml:space="preserve">”</w:t>
      </w:r>
      <w:r>
        <w:t xml:space="preserve"> </w:t>
      </w:r>
      <w:r>
        <w:t xml:space="preserve">→</w:t>
      </w:r>
      <w:r>
        <w:t xml:space="preserve"> </w:t>
      </w:r>
      <w:r>
        <w:t xml:space="preserve">“</w:t>
      </w:r>
      <w:r>
        <w:t xml:space="preserve">Confirm &amp; Send</w:t>
      </w:r>
      <w:r>
        <w:t xml:space="preserve">”</w:t>
      </w:r>
      <w:r>
        <w:t xml:space="preserve"> </w:t>
      </w:r>
      <w:r>
        <w:t xml:space="preserve">will surface the modal with the red</w:t>
      </w:r>
      <w:r>
        <w:t xml:space="preserve"> </w:t>
      </w:r>
      <w:r>
        <w:t xml:space="preserve">“</w:t>
      </w:r>
      <w:r>
        <w:t xml:space="preserve">EPCS Two-Factor Authentication Required</w:t>
      </w:r>
      <w:r>
        <w:t xml:space="preserve">”</w:t>
      </w:r>
      <w:r>
        <w:t xml:space="preserve"> </w:t>
      </w:r>
      <w:r>
        <w:t xml:space="preserve">header, a Schedule badge, and</w:t>
      </w:r>
      <w:r>
        <w:t xml:space="preserve"> </w:t>
      </w:r>
      <w:r>
        <w:t xml:space="preserve">“</w:t>
      </w:r>
      <w:r>
        <w:t xml:space="preserve">Verify &amp; Sign</w:t>
      </w:r>
      <w:r>
        <w:t xml:space="preserve">”</w:t>
      </w:r>
      <w:r>
        <w:t xml:space="preserve"> </w:t>
      </w:r>
      <w:r>
        <w:t xml:space="preserve">/</w:t>
      </w:r>
      <w:r>
        <w:t xml:space="preserve"> </w:t>
      </w:r>
      <w:r>
        <w:t xml:space="preserve">“</w:t>
      </w:r>
      <w:r>
        <w:t xml:space="preserve">Cancel</w:t>
      </w:r>
      <w:r>
        <w:t xml:space="preserve">”</w:t>
      </w:r>
      <w:r>
        <w:t xml:space="preserve"> </w:t>
      </w:r>
      <w:r>
        <w:t xml:space="preserve">buttons. Read the current 6-digit code from your authenticator app (the one you loaded via the Authenticator Setup subsection before demo day) and enter it.</w:t>
      </w:r>
    </w:p>
    <w:p>
      <w:pPr>
        <w:pStyle w:val="BlockText"/>
      </w:pPr>
      <w:r>
        <w:t xml:space="preserve">“</w:t>
      </w:r>
      <w:r>
        <w:t xml:space="preserve">Two orders created from one signature, three SLA timers each. In the next step we’ll merge them into a single patient payment link with Phase C</w:t>
      </w:r>
      <w:r>
        <w:t xml:space="preserve"> </w:t>
      </w:r>
      <w:r>
        <w:rPr>
          <w:bCs/>
          <w:b/>
        </w:rPr>
        <w:t xml:space="preserve">Combine and Send</w:t>
      </w:r>
      <w:r>
        <w:t xml:space="preserve"> </w:t>
      </w:r>
      <w:r>
        <w:t xml:space="preserve">— that’s the primary flow for a multi-prescription visit. (A per-order payment link still exists for single-prescription orders.) The MA’s workflow for a multi-medication visit: 45 seconds.</w:t>
      </w:r>
      <w:r>
        <w:t xml:space="preserve">”</w:t>
      </w:r>
    </w:p>
    <w:bookmarkEnd w:id="42"/>
    <w:bookmarkStart w:id="43" w:name="f-phase-c-combine-and-send-new"/>
    <w:p>
      <w:pPr>
        <w:pStyle w:val="Heading3"/>
      </w:pPr>
      <w:r>
        <w:t xml:space="preserve">3F — Phase C: Combine and Send (New)</w:t>
      </w:r>
    </w:p>
    <w:p>
      <w:pPr>
        <w:pStyle w:val="BlockText"/>
      </w:pPr>
      <w:r>
        <w:t xml:space="preserve">“</w:t>
      </w:r>
      <w:r>
        <w:t xml:space="preserve">Those two prescriptions we just signed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pStyle w:val="FirstParagraph"/>
      </w:pPr>
      <w:r>
        <w:t xml:space="preserve">37a. On the dashboard, both Alex Demo orders (Semaglutide + Testosterone)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r>
        <w:t xml:space="preserve"> </w:t>
      </w:r>
      <w:r>
        <w:t xml:space="preserve">37b.</w:t>
      </w:r>
      <w:r>
        <w:t xml:space="preserve"> </w:t>
      </w: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r>
        <w:t xml:space="preserve"> </w:t>
      </w:r>
      <w:r>
        <w:t xml:space="preserve">37c. Select the sibling order, then click</w:t>
      </w:r>
      <w:r>
        <w:t xml:space="preserve"> </w:t>
      </w:r>
      <w:r>
        <w:rPr>
          <w:bCs/>
          <w:b/>
        </w:rPr>
        <w:t xml:space="preserve">“</w:t>
      </w:r>
      <w:r>
        <w:rPr>
          <w:bCs/>
          <w:b/>
        </w:rPr>
        <w:t xml:space="preserve">Combine and Copy Payment Link.</w:t>
      </w:r>
      <w:r>
        <w:rPr>
          <w:bCs/>
          <w:b/>
        </w:rPr>
        <w:t xml:space="preserve">”</w:t>
      </w:r>
      <w:r>
        <w:t xml:space="preserve"> </w:t>
      </w:r>
      <w:r>
        <w:t xml:space="preserve">37d.</w:t>
      </w:r>
      <w:r>
        <w:t xml:space="preserve"> </w:t>
      </w: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$286.00</w:t>
      </w:r>
      <w:r>
        <w:rPr>
          <w:bCs/>
          <w:b/>
        </w:rPr>
        <w:t xml:space="preserve">”</w:t>
      </w:r>
      <w:r>
        <w:t xml:space="preserv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already on your clipboard —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 This is the friction Phase C removed.</w:t>
      </w:r>
      <w:r>
        <w:t xml:space="preserve">”</w:t>
      </w:r>
    </w:p>
    <w:p>
      <w:pPr>
        <w:pStyle w:val="FirstParagraph"/>
      </w:pPr>
      <w:r>
        <w:t xml:space="preserve">37e.</w:t>
      </w:r>
      <w:r>
        <w:t xml:space="preserve"> </w:t>
      </w: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pStyle w:val="FirstParagraph"/>
      </w:pPr>
      <w:r>
        <w:t xml:space="preserve">37f.</w:t>
      </w:r>
      <w:r>
        <w:t xml:space="preserve"> </w:t>
      </w: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3"/>
    <w:bookmarkStart w:id="44" w:name="f-provider-signature-queue-draft-flow"/>
    <w:p>
      <w:pPr>
        <w:pStyle w:val="Heading3"/>
      </w:pPr>
      <w:r>
        <w:t xml:space="preserve">3F — Provider Signature Queue (Draft Flow)</w:t>
      </w:r>
    </w:p>
    <w:p>
      <w:pPr>
        <w:pStyle w:val="BlockText"/>
      </w:pPr>
      <w:r>
        <w:t xml:space="preserve">“</w:t>
      </w:r>
      <w:r>
        <w:t xml:space="preserve">Now let me show you the draft flow — where the MA saves a prescription for the provider to sign later.</w:t>
      </w:r>
      <w:r>
        <w:t xml:space="preserve">”</w:t>
      </w:r>
    </w:p>
    <w:p>
      <w:pPr>
        <w:numPr>
          <w:ilvl w:val="0"/>
          <w:numId w:val="1035"/>
        </w:numPr>
        <w:pStyle w:val="Compact"/>
      </w:pPr>
      <w:r>
        <w:t xml:space="preserve">Click</w:t>
      </w:r>
      <w:r>
        <w:t xml:space="preserve"> </w:t>
      </w:r>
      <w:r>
        <w:rPr>
          <w:bCs/>
          <w:b/>
        </w:rPr>
        <w:t xml:space="preserve">“</w:t>
      </w:r>
      <w:r>
        <w:rPr>
          <w:bCs/>
          <w:b/>
        </w:rPr>
        <w:t xml:space="preserve">+ New Prescription</w:t>
      </w:r>
      <w:r>
        <w:rPr>
          <w:bCs/>
          <w:b/>
        </w:rPr>
        <w:t xml:space="preserve">”</w:t>
      </w:r>
      <w:r>
        <w:t xml:space="preserve"> </w:t>
      </w:r>
      <w:r>
        <w:t xml:space="preserve">again</w:t>
      </w:r>
    </w:p>
    <w:p>
      <w:pPr>
        <w:numPr>
          <w:ilvl w:val="0"/>
          <w:numId w:val="1035"/>
        </w:numPr>
        <w:pStyle w:val="Compact"/>
      </w:pPr>
      <w:r>
        <w:t xml:space="preserve">Select</w:t>
      </w:r>
      <w:r>
        <w:t xml:space="preserve"> </w:t>
      </w:r>
      <w:r>
        <w:rPr>
          <w:bCs/>
          <w:b/>
        </w:rPr>
        <w:t xml:space="preserve">Alex Demo</w:t>
      </w:r>
      <w:r>
        <w:t xml:space="preserve"> </w:t>
      </w:r>
      <w:r>
        <w:t xml:space="preserve">+ provider</w:t>
      </w:r>
      <w:r>
        <w:t xml:space="preserve"> </w:t>
      </w:r>
      <w:r>
        <w:rPr>
          <w:bCs/>
          <w:b/>
        </w:rPr>
        <w:t xml:space="preserve">Sarah Chen</w:t>
      </w:r>
      <w:r>
        <w:t xml:space="preserve"> </w:t>
      </w:r>
      <w:r>
        <w:t xml:space="preserve">→ Continue</w:t>
      </w:r>
    </w:p>
    <w:p>
      <w:pPr>
        <w:numPr>
          <w:ilvl w:val="0"/>
          <w:numId w:val="1035"/>
        </w:numPr>
        <w:pStyle w:val="Compact"/>
      </w:pPr>
      <w:r>
        <w:t xml:space="preserve">Search</w:t>
      </w:r>
      <w:r>
        <w:t xml:space="preserve"> </w:t>
      </w:r>
      <w:r>
        <w:rPr>
          <w:bCs/>
          <w:b/>
        </w:rPr>
        <w:t xml:space="preserve">“</w:t>
      </w:r>
      <w:r>
        <w:rPr>
          <w:bCs/>
          <w:b/>
        </w:rPr>
        <w:t xml:space="preserve">Sema</w:t>
      </w:r>
      <w:r>
        <w:rPr>
          <w:bCs/>
          <w:b/>
        </w:rPr>
        <w:t xml:space="preserve">”</w:t>
      </w:r>
      <w:r>
        <w:t xml:space="preserve"> </w:t>
      </w:r>
      <w:r>
        <w:t xml:space="preserve">→ select</w:t>
      </w:r>
      <w:r>
        <w:t xml:space="preserve"> </w:t>
      </w:r>
      <w:r>
        <w:rPr>
          <w:bCs/>
          <w:b/>
        </w:rPr>
        <w:t xml:space="preserve">Semaglutide</w:t>
      </w:r>
      <w:r>
        <w:t xml:space="preserve"> </w:t>
      </w:r>
      <w:r>
        <w:t xml:space="preserve">→ select</w:t>
      </w:r>
      <w:r>
        <w:t xml:space="preserve"> </w:t>
      </w:r>
      <w:r>
        <w:rPr>
          <w:bCs/>
          <w:b/>
        </w:rPr>
        <w:t xml:space="preserve">Strive Pharmacy</w:t>
      </w:r>
    </w:p>
    <w:p>
      <w:pPr>
        <w:numPr>
          <w:ilvl w:val="0"/>
          <w:numId w:val="1035"/>
        </w:numPr>
        <w:pStyle w:val="Compact"/>
      </w:pPr>
      <w:r>
        <w:t xml:space="preserve">Click</w:t>
      </w:r>
      <w:r>
        <w:t xml:space="preserve"> </w:t>
      </w:r>
      <w:r>
        <w:rPr>
          <w:bCs/>
          <w:b/>
        </w:rPr>
        <w:t xml:space="preserve">2x multiplier</w:t>
      </w:r>
      <w:r>
        <w:t xml:space="preserve">, enter Sig:</w:t>
      </w:r>
      <w:r>
        <w:t xml:space="preserve"> </w:t>
      </w:r>
      <w:r>
        <w:rPr>
          <w:bCs/>
          <w:b/>
        </w:rPr>
        <w:t xml:space="preserve">“</w:t>
      </w:r>
      <w:r>
        <w:rPr>
          <w:bCs/>
          <w:b/>
        </w:rPr>
        <w:t xml:space="preserve">Draft flow demo</w:t>
      </w:r>
      <w:r>
        <w:rPr>
          <w:bCs/>
          <w:b/>
        </w:rPr>
        <w:t xml:space="preserve">”</w:t>
      </w:r>
    </w:p>
    <w:p>
      <w:pPr>
        <w:numPr>
          <w:ilvl w:val="0"/>
          <w:numId w:val="1035"/>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numPr>
          <w:ilvl w:val="0"/>
          <w:numId w:val="1035"/>
        </w:numPr>
        <w:pStyle w:val="Compact"/>
      </w:pPr>
      <w:r>
        <w:t xml:space="preserve">Navigate back to the dashboard — the new order appears with</w:t>
      </w:r>
      <w:r>
        <w:t xml:space="preserve"> </w:t>
      </w:r>
      <w:r>
        <w:rPr>
          <w:bCs/>
          <w:b/>
        </w:rPr>
        <w:t xml:space="preserve">“</w:t>
      </w:r>
      <w:r>
        <w:rPr>
          <w:bCs/>
          <w:b/>
        </w:rPr>
        <w:t xml:space="preserve">Draft</w:t>
      </w:r>
      <w:r>
        <w:rPr>
          <w:bCs/>
          <w:b/>
        </w:rPr>
        <w:t xml:space="preserve">”</w:t>
      </w:r>
      <w:r>
        <w:t xml:space="preserve"> </w:t>
      </w:r>
      <w:r>
        <w:t xml:space="preserve">status</w:t>
      </w:r>
    </w:p>
    <w:p>
      <w:pPr>
        <w:pStyle w:val="BlockText"/>
      </w:pPr>
      <w:r>
        <w:t xml:space="preserve">“</w:t>
      </w:r>
      <w:r>
        <w:t xml:space="preserve">The MA saved this without the provider being present. No signature yet.</w:t>
      </w:r>
      <w:r>
        <w:t xml:space="preserve">”</w:t>
      </w:r>
    </w:p>
    <w:p>
      <w:pPr>
        <w:numPr>
          <w:ilvl w:val="0"/>
          <w:numId w:val="1036"/>
        </w:numPr>
        <w:pStyle w:val="Compact"/>
      </w:pPr>
      <w:r>
        <w:rPr>
          <w:bCs/>
          <w:b/>
        </w:rPr>
        <w:t xml:space="preserve">Sign out</w:t>
      </w:r>
      <w:r>
        <w:t xml:space="preserve"> </w:t>
      </w:r>
      <w:r>
        <w:t xml:space="preserve">of clinic admin</w:t>
      </w:r>
    </w:p>
    <w:p>
      <w:pPr>
        <w:numPr>
          <w:ilvl w:val="0"/>
          <w:numId w:val="1036"/>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36"/>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w:t>
      </w:r>
      <w:r>
        <w:t xml:space="preserve">”</w:t>
      </w:r>
      <w:r>
        <w:t xml:space="preserve"> </w:t>
      </w:r>
      <w:r>
        <w:t xml:space="preserve">47. Click on the 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r>
        <w:t xml:space="preserve"> </w:t>
      </w:r>
      <w:r>
        <w:t xml:space="preserve">48. 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The provider sees a dedicated sign page with all the details the MA entered — medication, pharmacy, pricing, directions. They just review and sign.</w:t>
      </w:r>
      <w:r>
        <w:t xml:space="preserve">”</w:t>
      </w:r>
    </w:p>
    <w:p>
      <w:pPr>
        <w:numPr>
          <w:ilvl w:val="0"/>
          <w:numId w:val="1037"/>
        </w:numPr>
        <w:pStyle w:val="Compact"/>
      </w:pPr>
      <w:r>
        <w:rPr>
          <w:bCs/>
          <w:b/>
        </w:rPr>
        <w:t xml:space="preserve">Point out</w:t>
      </w:r>
      <w:r>
        <w:t xml:space="preserve"> </w:t>
      </w:r>
      <w:r>
        <w:t xml:space="preserve">the sign page: patient info, provider info, prescription details, financial summary, signature pad</w:t>
      </w:r>
    </w:p>
    <w:p>
      <w:pPr>
        <w:numPr>
          <w:ilvl w:val="0"/>
          <w:numId w:val="1037"/>
        </w:numPr>
        <w:pStyle w:val="Compact"/>
      </w:pPr>
      <w:r>
        <w:rPr>
          <w:bCs/>
          <w:b/>
        </w:rPr>
        <w:t xml:space="preserve">Sign</w:t>
      </w:r>
      <w:r>
        <w:t xml:space="preserve"> </w:t>
      </w:r>
      <w:r>
        <w:t xml:space="preserve">on the pad →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numPr>
          <w:ilvl w:val="0"/>
          <w:numId w:val="1037"/>
        </w:numPr>
        <w:pStyle w:val="Compact"/>
      </w:pPr>
      <w:r>
        <w:t xml:space="preserve">Verify redirect to dashboard — order now shows</w:t>
      </w:r>
      <w:r>
        <w:t xml:space="preserve"> </w:t>
      </w:r>
      <w:r>
        <w:rPr>
          <w:bCs/>
          <w:b/>
        </w:rPr>
        <w:t xml:space="preserve">“</w:t>
      </w:r>
      <w:r>
        <w:rPr>
          <w:bCs/>
          <w:b/>
        </w:rPr>
        <w:t xml:space="preserve">Awaiting Payment</w:t>
      </w:r>
      <w:r>
        <w:rPr>
          <w:bCs/>
          <w:b/>
        </w:rPr>
        <w:t xml:space="preserve">”</w:t>
      </w:r>
    </w:p>
    <w:p>
      <w:pPr>
        <w:pStyle w:val="BlockText"/>
      </w:pPr>
      <w:r>
        <w:t xml:space="preserve">“</w:t>
      </w:r>
      <w:r>
        <w:t xml:space="preserve">The MA prepared it, the provider signed it later. Different sessions, different logins, same result. This is how a real clinic works.</w:t>
      </w:r>
      <w:r>
        <w:t xml:space="preserve">”</w:t>
      </w:r>
    </w:p>
    <w:p>
      <w:pPr>
        <w:numPr>
          <w:ilvl w:val="0"/>
          <w:numId w:val="1038"/>
        </w:numPr>
        <w:pStyle w:val="Compact"/>
      </w:pPr>
      <w:r>
        <w:rPr>
          <w:bCs/>
          <w:b/>
        </w:rPr>
        <w:t xml:space="preserve">Sign out</w:t>
      </w:r>
    </w:p>
    <w:bookmarkEnd w:id="44"/>
    <w:bookmarkStart w:id="45" w:name="X9a7f5230d3f392d06785ba712826f6c1d80b850"/>
    <w:p>
      <w:pPr>
        <w:pStyle w:val="Heading3"/>
      </w:pPr>
      <w:r>
        <w:t xml:space="preserve">3G — Get the Checkout URL (in-app, no terminal)</w:t>
      </w:r>
    </w:p>
    <w:p>
      <w:pPr>
        <w:numPr>
          <w:ilvl w:val="0"/>
          <w:numId w:val="1039"/>
        </w:numPr>
        <w:pStyle w:val="Compact"/>
      </w:pPr>
      <w:r>
        <w:rPr>
          <w:bCs/>
          <w:b/>
        </w:rPr>
        <w:t xml:space="preserve">Copy the patient checkout URL</w:t>
      </w:r>
      <w:r>
        <w:t xml:space="preserve"> </w:t>
      </w:r>
      <w:r>
        <w:t xml:space="preserve">— still logged in as the provider (or switch back to the clinic admin), on the clinic dashboard:</w:t>
      </w:r>
    </w:p>
    <w:p>
      <w:pPr>
        <w:numPr>
          <w:ilvl w:val="1"/>
          <w:numId w:val="1040"/>
        </w:numPr>
        <w:pStyle w:val="Compact"/>
      </w:pPr>
      <w:r>
        <w:t xml:space="preserve">Click any order showing</w:t>
      </w:r>
      <w:r>
        <w:t xml:space="preserve"> </w:t>
      </w:r>
      <w:r>
        <w:rPr>
          <w:bCs/>
          <w:b/>
        </w:rPr>
        <w:t xml:space="preserve">“</w:t>
      </w:r>
      <w:r>
        <w:rPr>
          <w:bCs/>
          <w:b/>
        </w:rPr>
        <w:t xml:space="preserve">Awaiting Payment</w:t>
      </w:r>
      <w:r>
        <w:rPr>
          <w:bCs/>
          <w:b/>
        </w:rPr>
        <w:t xml:space="preserve">”</w:t>
      </w:r>
      <w:r>
        <w:t xml:space="preserve"> </w:t>
      </w:r>
      <w:r>
        <w:t xml:space="preserve">to open the order drawer</w:t>
      </w:r>
    </w:p>
    <w:p>
      <w:pPr>
        <w:numPr>
          <w:ilvl w:val="1"/>
          <w:numId w:val="1040"/>
        </w:numPr>
        <w:pStyle w:val="Compact"/>
      </w:pPr>
      <w:r>
        <w:t xml:space="preserve">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now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 (This per-order button is the single-order path; for a multi-prescription visit you’d instead use the combined link from Part 3F — Phase C, Combine and Send.)</w:t>
      </w:r>
      <w:r>
        <w:t xml:space="preserve">”</w:t>
      </w:r>
    </w:p>
    <w:p>
      <w:r>
        <w:pict>
          <v:rect style="width:0;height:1.5pt" o:hralign="center" o:hrstd="t" o:hr="t"/>
        </w:pict>
      </w:r>
    </w:p>
    <w:bookmarkEnd w:id="45"/>
    <w:bookmarkEnd w:id="46"/>
    <w:bookmarkStart w:id="51" w:name="part-4-patient-checkout-57-minutes"/>
    <w:p>
      <w:pPr>
        <w:pStyle w:val="Heading2"/>
      </w:pPr>
      <w:r>
        <w:t xml:space="preserve">Part 4: Patient Checkout (5–7 minutes)</w:t>
      </w:r>
    </w:p>
    <w:bookmarkStart w:id="47" w:name="a-checkout-page"/>
    <w:p>
      <w:pPr>
        <w:pStyle w:val="Heading3"/>
      </w:pPr>
      <w:r>
        <w:t xml:space="preserve">4A — Checkout Page</w:t>
      </w:r>
    </w:p>
    <w:p>
      <w:pPr>
        <w:numPr>
          <w:ilvl w:val="0"/>
          <w:numId w:val="1041"/>
        </w:numPr>
        <w:pStyle w:val="Compact"/>
      </w:pPr>
      <w:r>
        <w:t xml:space="preserve">Paste the</w:t>
      </w:r>
      <w:r>
        <w:t xml:space="preserve"> </w:t>
      </w:r>
      <w:r>
        <w:rPr>
          <w:bCs/>
          <w:b/>
        </w:rPr>
        <w:t xml:space="preserve">bundled checkout URL</w:t>
      </w:r>
      <w:r>
        <w:t xml:space="preserve"> </w:t>
      </w:r>
      <w:r>
        <w:t xml:space="preserve">copied in the Combine-and-Send step (Part 3F — Phase C) into a new tab (or into a mobile browser for extra impact)</w:t>
      </w:r>
    </w:p>
    <w:p>
      <w:pPr>
        <w:numPr>
          <w:ilvl w:val="0"/>
          <w:numId w:val="1041"/>
        </w:numPr>
        <w:pStyle w:val="Compact"/>
      </w:pPr>
      <w:r>
        <w:rPr>
          <w:bCs/>
          <w:b/>
        </w:rPr>
        <w:t xml:space="preserve">Point out:</w:t>
      </w:r>
    </w:p>
    <w:p>
      <w:pPr>
        <w:numPr>
          <w:ilvl w:val="1"/>
          <w:numId w:val="1042"/>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w:t>
      </w:r>
    </w:p>
    <w:p>
      <w:pPr>
        <w:numPr>
          <w:ilvl w:val="1"/>
          <w:numId w:val="1042"/>
        </w:numPr>
        <w:pStyle w:val="Compact"/>
      </w:pPr>
      <w:r>
        <w:rPr>
          <w:bCs/>
          <w:b/>
        </w:rPr>
        <w:t xml:space="preserve">“</w:t>
      </w:r>
      <w:r>
        <w:rPr>
          <w:bCs/>
          <w:b/>
        </w:rPr>
        <w:t xml:space="preserve">Prescription Bundle · 2 prescriptions · $286.00</w:t>
      </w:r>
      <w:r>
        <w:rPr>
          <w:bCs/>
          <w:b/>
        </w:rPr>
        <w:t xml:space="preserve">”</w:t>
      </w:r>
      <w:r>
        <w:t xml:space="preserve"> </w:t>
      </w:r>
      <w:r>
        <w:t xml:space="preserve">— the two sibling Rx now share one checkout instead of two separate links</w:t>
      </w:r>
    </w:p>
    <w:p>
      <w:pPr>
        <w:numPr>
          <w:ilvl w:val="1"/>
          <w:numId w:val="1042"/>
        </w:numPr>
        <w:pStyle w:val="Compact"/>
      </w:pPr>
      <w:r>
        <w:t xml:space="preserve">Two generic line items, each labeled</w:t>
      </w:r>
      <w:r>
        <w:t xml:space="preserve"> </w:t>
      </w:r>
      <w:r>
        <w:t xml:space="preserve">“</w:t>
      </w:r>
      <w:r>
        <w:t xml:space="preserve">Prescription Service</w:t>
      </w:r>
      <w:r>
        <w:t xml:space="preserve">”</w:t>
      </w:r>
      <w:r>
        <w:t xml:space="preserve"> </w:t>
      </w:r>
      <w:r>
        <w:t xml:space="preserve">— NOT the medication name</w:t>
      </w:r>
    </w:p>
    <w:p>
      <w:pPr>
        <w:numPr>
          <w:ilvl w:val="1"/>
          <w:numId w:val="1042"/>
        </w:numPr>
        <w:pStyle w:val="Compact"/>
      </w:pPr>
      <w:r>
        <w:t xml:space="preserve">A single</w:t>
      </w:r>
      <w:r>
        <w:t xml:space="preserve"> </w:t>
      </w:r>
      <w:r>
        <w:rPr>
          <w:bCs/>
          <w:b/>
        </w:rPr>
        <w:t xml:space="preserve">combined total of $286.00</w:t>
      </w:r>
      <w:r>
        <w:t xml:space="preserve"> </w:t>
      </w:r>
      <w:r>
        <w:t xml:space="preserve">— the sum of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The patient pays this one combined amount, once.</w:t>
      </w:r>
    </w:p>
    <w:p>
      <w:pPr>
        <w:numPr>
          <w:ilvl w:val="1"/>
          <w:numId w:val="1042"/>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42"/>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42"/>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42"/>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43"/>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47"/>
    <w:bookmarkStart w:id="48" w:name="b-complete-payment"/>
    <w:p>
      <w:pPr>
        <w:pStyle w:val="Heading3"/>
      </w:pPr>
      <w:r>
        <w:t xml:space="preserve">4B — Complete Payment</w:t>
      </w:r>
    </w:p>
    <w:p>
      <w:pPr>
        <w:numPr>
          <w:ilvl w:val="0"/>
          <w:numId w:val="1044"/>
        </w:numPr>
        <w:pStyle w:val="Compact"/>
      </w:pPr>
      <w:r>
        <w:t xml:space="preserve">Enter email in the</w:t>
      </w:r>
      <w:r>
        <w:t xml:space="preserve"> </w:t>
      </w:r>
      <w:r>
        <w:rPr>
          <w:bCs/>
          <w:b/>
        </w:rPr>
        <w:t xml:space="preserve">“</w:t>
      </w:r>
      <w:r>
        <w:rPr>
          <w:bCs/>
          <w:b/>
        </w:rPr>
        <w:t xml:space="preserve">Email for receipt</w:t>
      </w:r>
      <w:r>
        <w:rPr>
          <w:bCs/>
          <w:b/>
        </w:rPr>
        <w:t xml:space="preserve">”</w:t>
      </w:r>
      <w:r>
        <w:t xml:space="preserve"> </w:t>
      </w:r>
      <w:r>
        <w:t xml:space="preserve">field:</w:t>
      </w:r>
      <w:r>
        <w:t xml:space="preserve"> </w:t>
      </w:r>
      <w:r>
        <w:rPr>
          <w:rStyle w:val="VerbatimChar"/>
        </w:rPr>
        <w:t xml:space="preserve">test@example.com</w:t>
      </w:r>
      <w:r>
        <w:t xml:space="preserve"> </w:t>
      </w:r>
      <w:r>
        <w:t xml:space="preserve">(Stripe will email the branded receipt here)</w:t>
      </w:r>
    </w:p>
    <w:p>
      <w:pPr>
        <w:numPr>
          <w:ilvl w:val="0"/>
          <w:numId w:val="1044"/>
        </w:numPr>
        <w:pStyle w:val="Compact"/>
      </w:pPr>
      <w:r>
        <w:t xml:space="preserve">Enter Stripe test card in the Stripe Elements form below:</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numPr>
          <w:ilvl w:val="0"/>
          <w:numId w:val="1044"/>
        </w:numPr>
        <w:pStyle w:val="Compact"/>
      </w:pPr>
      <w:r>
        <w:t xml:space="preserve">Click the</w:t>
      </w:r>
      <w:r>
        <w:t xml:space="preserve"> </w:t>
      </w:r>
      <w:r>
        <w:rPr>
          <w:bCs/>
          <w:b/>
        </w:rPr>
        <w:t xml:space="preserve">“</w:t>
      </w:r>
      <w:r>
        <w:rPr>
          <w:bCs/>
          <w:b/>
        </w:rPr>
        <w:t xml:space="preserve">Pay</w:t>
      </w:r>
      <w:r>
        <w:rPr>
          <w:bCs/>
          <w:b/>
        </w:rPr>
        <w:t xml:space="preserve">”</w:t>
      </w:r>
      <w:r>
        <w:t xml:space="preserve"> </w:t>
      </w:r>
      <w:r>
        <w:t xml:space="preserve">button — it shows the combined bundle total of</w:t>
      </w:r>
      <w:r>
        <w:t xml:space="preserve"> </w:t>
      </w:r>
      <w:r>
        <w:rPr>
          <w:bCs/>
          <w:b/>
        </w:rPr>
        <w:t xml:space="preserve">$286.00</w:t>
      </w:r>
      <w:r>
        <w:t xml:space="preserve"> </w:t>
      </w:r>
      <w:r>
        <w:t xml:space="preserve">for the 2 prescriptions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w:t>
      </w:r>
    </w:p>
    <w:p>
      <w:pPr>
        <w:numPr>
          <w:ilvl w:val="0"/>
          <w:numId w:val="1044"/>
        </w:numPr>
        <w:pStyle w:val="Compact"/>
      </w:pPr>
      <w:r>
        <w:t xml:space="preserve">Wait for the success page</w:t>
      </w:r>
    </w:p>
    <w:bookmarkEnd w:id="48"/>
    <w:bookmarkStart w:id="49" w:name="c-success-page"/>
    <w:p>
      <w:pPr>
        <w:pStyle w:val="Heading3"/>
      </w:pPr>
      <w:r>
        <w:t xml:space="preserve">4C — Success Page</w:t>
      </w:r>
    </w:p>
    <w:p>
      <w:pPr>
        <w:numPr>
          <w:ilvl w:val="0"/>
          <w:numId w:val="1045"/>
        </w:numPr>
        <w:pStyle w:val="Compact"/>
      </w:pPr>
      <w:r>
        <w:rPr>
          <w:bCs/>
          <w:b/>
        </w:rPr>
        <w:t xml:space="preserve">Point out:</w:t>
      </w:r>
    </w:p>
    <w:p>
      <w:pPr>
        <w:numPr>
          <w:ilvl w:val="1"/>
          <w:numId w:val="1046"/>
        </w:numPr>
        <w:pStyle w:val="Compact"/>
      </w:pPr>
      <w:r>
        <w:t xml:space="preserve">Animated green checkmark (CSS-only draw animation)</w:t>
      </w:r>
    </w:p>
    <w:p>
      <w:pPr>
        <w:numPr>
          <w:ilvl w:val="1"/>
          <w:numId w:val="1046"/>
        </w:numPr>
        <w:pStyle w:val="Compact"/>
      </w:pPr>
      <w:r>
        <w:t xml:space="preserve">“</w:t>
      </w:r>
      <w:r>
        <w:t xml:space="preserve">Payment Received</w:t>
      </w:r>
      <w:r>
        <w:t xml:space="preserve">”</w:t>
      </w:r>
      <w:r>
        <w:t xml:space="preserve"> </w:t>
      </w:r>
      <w:r>
        <w:t xml:space="preserve">heading</w:t>
      </w:r>
    </w:p>
    <w:p>
      <w:pPr>
        <w:numPr>
          <w:ilvl w:val="1"/>
          <w:numId w:val="1046"/>
        </w:numPr>
        <w:pStyle w:val="Compact"/>
      </w:pPr>
      <w:r>
        <w:t xml:space="preserve">The combined bundle amount (</w:t>
      </w:r>
      <w:r>
        <w:rPr>
          <w:bCs/>
          <w:b/>
        </w:rPr>
        <w:t xml:space="preserve">$286.00</w:t>
      </w:r>
      <w:r>
        <w:t xml:space="preserve">) in green</w:t>
      </w:r>
    </w:p>
    <w:p>
      <w:pPr>
        <w:numPr>
          <w:ilvl w:val="1"/>
          <w:numId w:val="1046"/>
        </w:numPr>
        <w:pStyle w:val="Compact"/>
      </w:pPr>
      <w:r>
        <w:t xml:space="preserve">Order reference:</w:t>
      </w:r>
      <w:r>
        <w:t xml:space="preserve"> </w:t>
      </w:r>
      <w:r>
        <w:rPr>
          <w:rStyle w:val="VerbatimChar"/>
        </w:rPr>
        <w:t xml:space="preserve">#213881c7</w:t>
      </w:r>
      <w:r>
        <w:t xml:space="preserve"> </w:t>
      </w:r>
      <w:r>
        <w:t xml:space="preserve">(first 8 chars of UUID, monospace font)</w:t>
      </w:r>
    </w:p>
    <w:p>
      <w:pPr>
        <w:numPr>
          <w:ilvl w:val="1"/>
          <w:numId w:val="1046"/>
        </w:numPr>
        <w:pStyle w:val="Compact"/>
      </w:pPr>
      <w:r>
        <w:t xml:space="preserve">“</w:t>
      </w:r>
      <w:r>
        <w:t xml:space="preserve">What Happens Next</w:t>
      </w:r>
      <w:r>
        <w:t xml:space="preserve">”</w:t>
      </w:r>
      <w:r>
        <w:t xml:space="preserve"> </w:t>
      </w:r>
      <w:r>
        <w:t xml:space="preserve">card with 3-step progress:</w:t>
      </w:r>
    </w:p>
    <w:p>
      <w:pPr>
        <w:numPr>
          <w:ilvl w:val="2"/>
          <w:numId w:val="1047"/>
        </w:numPr>
        <w:pStyle w:val="Compact"/>
      </w:pPr>
      <w:r>
        <w:t xml:space="preserve">Payment confirmed (check)</w:t>
      </w:r>
    </w:p>
    <w:p>
      <w:pPr>
        <w:numPr>
          <w:ilvl w:val="2"/>
          <w:numId w:val="1047"/>
        </w:numPr>
        <w:pStyle w:val="Compact"/>
      </w:pPr>
      <w:r>
        <w:t xml:space="preserve">Prescription sent to pharmacy (pending)</w:t>
      </w:r>
    </w:p>
    <w:p>
      <w:pPr>
        <w:numPr>
          <w:ilvl w:val="2"/>
          <w:numId w:val="1047"/>
        </w:numPr>
        <w:pStyle w:val="Compact"/>
      </w:pPr>
      <w:r>
        <w:t xml:space="preserve">Pharmacy will contact you —</w:t>
      </w:r>
      <w:r>
        <w:t xml:space="preserve"> </w:t>
      </w:r>
      <w:r>
        <w:t xml:space="preserve">“</w:t>
      </w:r>
      <w:r>
        <w:t xml:space="preserve">Within 3–7 business days</w:t>
      </w:r>
      <w:r>
        <w:t xml:space="preserve">”</w:t>
      </w:r>
      <w:r>
        <w:t xml:space="preserve"> </w:t>
      </w:r>
      <w:r>
        <w:t xml:space="preserve">(Tier 4 fax timing)</w:t>
      </w:r>
    </w:p>
    <w:p>
      <w:pPr>
        <w:pStyle w:val="BlockText"/>
      </w:pPr>
      <w:r>
        <w:t xml:space="preserve">“</w:t>
      </w:r>
      <w:r>
        <w:t xml:space="preserve">The patient gets immediate confirmation with clear next-step expectations. The messaging adapts to the pharmacy’s integration tier — API-connected pharmacies show</w:t>
      </w:r>
      <w:r>
        <w:t xml:space="preserve"> </w:t>
      </w:r>
      <w:r>
        <w:t xml:space="preserve">‘</w:t>
      </w:r>
      <w:r>
        <w:t xml:space="preserve">24–48 hours</w:t>
      </w:r>
      <w:r>
        <w:t xml:space="preserve">’</w:t>
      </w:r>
      <w:r>
        <w:t xml:space="preserve"> </w:t>
      </w:r>
      <w:r>
        <w:t xml:space="preserve">because they have real-time status. Fax pharmacies show the longer timeline. No false promises.</w:t>
      </w:r>
      <w:r>
        <w:t xml:space="preserve">”</w:t>
      </w:r>
    </w:p>
    <w:p>
      <w:pPr>
        <w:numPr>
          <w:ilvl w:val="0"/>
          <w:numId w:val="1048"/>
        </w:numPr>
        <w:pStyle w:val="Compact"/>
      </w:pPr>
      <w:r>
        <w:rPr>
          <w:bCs/>
          <w:b/>
        </w:rPr>
        <w:t xml:space="preserve">Point out:</w:t>
      </w:r>
      <w:r>
        <w:t xml:space="preserve"> </w:t>
      </w:r>
      <w:r>
        <w:t xml:space="preserve">No medication name on the success page either</w:t>
      </w:r>
    </w:p>
    <w:p>
      <w:pPr>
        <w:pStyle w:val="BlockText"/>
      </w:pPr>
      <w:r>
        <w:t xml:space="preserve">“</w:t>
      </w:r>
      <w:r>
        <w:t xml:space="preserve">Still zero PHI. The patient knows their payment went through and roughly when to expect their medication. That’s all they need.</w:t>
      </w:r>
      <w:r>
        <w:t xml:space="preserve">”</w:t>
      </w:r>
    </w:p>
    <w:bookmarkEnd w:id="49"/>
    <w:bookmarkStart w:id="50" w:name="d-expired-link-page-optional"/>
    <w:p>
      <w:pPr>
        <w:pStyle w:val="Heading3"/>
      </w:pPr>
      <w:r>
        <w:t xml:space="preserve">4D — Expired Link Page (Optional)</w:t>
      </w:r>
    </w:p>
    <w:p>
      <w:pPr>
        <w:numPr>
          <w:ilvl w:val="0"/>
          <w:numId w:val="1049"/>
        </w:numPr>
        <w:pStyle w:val="Compact"/>
      </w:pPr>
      <w:r>
        <w:t xml:space="preserve">Navigate to</w:t>
      </w:r>
      <w:r>
        <w:t xml:space="preserve"> </w:t>
      </w:r>
      <w:r>
        <w:rPr>
          <w:rStyle w:val="VerbatimChar"/>
        </w:rPr>
        <w:t xml:space="preserve">https://functional-medicine-infrastructure.vercel.app/checkout/expired</w:t>
      </w:r>
    </w:p>
    <w:p>
      <w:pPr>
        <w:numPr>
          <w:ilvl w:val="0"/>
          <w:numId w:val="1049"/>
        </w:numPr>
        <w:pStyle w:val="Compact"/>
      </w:pPr>
      <w:r>
        <w:rPr>
          <w:bCs/>
          <w:b/>
        </w:rPr>
        <w:t xml:space="preserve">Point out:</w:t>
      </w:r>
    </w:p>
    <w:p>
      <w:pPr>
        <w:numPr>
          <w:ilvl w:val="1"/>
          <w:numId w:val="1050"/>
        </w:numPr>
        <w:pStyle w:val="Compact"/>
      </w:pPr>
      <w:r>
        <w:t xml:space="preserve">Clock icon, friendly message</w:t>
      </w:r>
    </w:p>
    <w:p>
      <w:pPr>
        <w:numPr>
          <w:ilvl w:val="1"/>
          <w:numId w:val="1050"/>
        </w:numPr>
        <w:pStyle w:val="Compact"/>
      </w:pPr>
      <w:r>
        <w:t xml:space="preserve">“</w:t>
      </w:r>
      <w:r>
        <w:t xml:space="preserve">Payment links expire after 72 hours for security</w:t>
      </w:r>
      <w:r>
        <w:t xml:space="preserve">”</w:t>
      </w:r>
    </w:p>
    <w:p>
      <w:pPr>
        <w:numPr>
          <w:ilvl w:val="1"/>
          <w:numId w:val="1050"/>
        </w:numPr>
        <w:pStyle w:val="Compact"/>
      </w:pPr>
      <w:r>
        <w:t xml:space="preserve">Instructions to contact clinic</w:t>
      </w:r>
    </w:p>
    <w:p>
      <w:pPr>
        <w:numPr>
          <w:ilvl w:val="1"/>
          <w:numId w:val="1050"/>
        </w:numPr>
        <w:pStyle w:val="Compact"/>
      </w:pPr>
      <w:r>
        <w:t xml:space="preserve">No order details revealed</w:t>
      </w:r>
    </w:p>
    <w:p>
      <w:pPr>
        <w:pStyle w:val="BlockText"/>
      </w:pPr>
      <w:r>
        <w:t xml:space="preserve">“</w:t>
      </w:r>
      <w:r>
        <w:t xml:space="preserve">If a patient waits too long, they see this. No PHI exposed. The clinic can reissue a new order — the expired one stays as a permanent record.</w:t>
      </w:r>
      <w:r>
        <w:t xml:space="preserve">”</w:t>
      </w:r>
    </w:p>
    <w:p>
      <w:r>
        <w:pict>
          <v:rect style="width:0;height:1.5pt" o:hralign="center" o:hrstd="t" o:hr="t"/>
        </w:pict>
      </w:r>
    </w:p>
    <w:bookmarkEnd w:id="50"/>
    <w:bookmarkEnd w:id="51"/>
    <w:bookmarkStart w:id="57" w:name="part-5-ops-dashboard-710-minutes"/>
    <w:p>
      <w:pPr>
        <w:pStyle w:val="Heading2"/>
      </w:pPr>
      <w:r>
        <w:t xml:space="preserve">Part 5: Ops Dashboard (7–10 minutes)</w:t>
      </w:r>
    </w:p>
    <w:bookmarkStart w:id="52" w:name="a-pipeline-view"/>
    <w:p>
      <w:pPr>
        <w:pStyle w:val="Heading3"/>
      </w:pPr>
      <w:r>
        <w:t xml:space="preserve">5A — Pipeline View</w:t>
      </w:r>
    </w:p>
    <w:p>
      <w:pPr>
        <w:numPr>
          <w:ilvl w:val="0"/>
          <w:numId w:val="1051"/>
        </w:numPr>
        <w:pStyle w:val="Compact"/>
      </w:pPr>
      <w:r>
        <w:t xml:space="preserve">Open a new tab, navigate to</w:t>
      </w:r>
      <w:r>
        <w:t xml:space="preserve"> </w:t>
      </w:r>
      <w:r>
        <w:rPr>
          <w:rStyle w:val="VerbatimChar"/>
        </w:rPr>
        <w:t xml:space="preserve">https://functional-medicine-infrastructure.vercel.app/login</w:t>
      </w:r>
    </w:p>
    <w:p>
      <w:pPr>
        <w:numPr>
          <w:ilvl w:val="0"/>
          <w:numId w:val="1051"/>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51"/>
        </w:numPr>
        <w:pStyle w:val="Compact"/>
      </w:pPr>
      <w:r>
        <w:rPr>
          <w:bCs/>
          <w:b/>
        </w:rPr>
        <w:t xml:space="preserve">Point out the dark-mode dashboard:</w:t>
      </w:r>
    </w:p>
    <w:p>
      <w:pPr>
        <w:numPr>
          <w:ilvl w:val="1"/>
          <w:numId w:val="1052"/>
        </w:numPr>
        <w:pStyle w:val="Compact"/>
      </w:pPr>
      <w:r>
        <w:t xml:space="preserve">Pipeline stage groups in the left sidebar (Payment, Submission, Pharmacy, Shipping, Errors / Terminal)</w:t>
      </w:r>
    </w:p>
    <w:p>
      <w:pPr>
        <w:numPr>
          <w:ilvl w:val="1"/>
          <w:numId w:val="1052"/>
        </w:numPr>
        <w:pStyle w:val="Compact"/>
      </w:pPr>
      <w:r>
        <w:t xml:space="preserve">Each stage has a count badge</w:t>
      </w:r>
    </w:p>
    <w:p>
      <w:pPr>
        <w:numPr>
          <w:ilvl w:val="1"/>
          <w:numId w:val="1052"/>
        </w:numPr>
        <w:pStyle w:val="Compact"/>
      </w:pPr>
      <w:r>
        <w:t xml:space="preserve">Order table with columns: Order, Status, Clinic, Pharmacy / Tier, SLA, Assigned, Actions</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numPr>
          <w:ilvl w:val="0"/>
          <w:numId w:val="1053"/>
        </w:numPr>
        <w:pStyle w:val="Compact"/>
      </w:pPr>
      <w:r>
        <w:rPr>
          <w:bCs/>
          <w:b/>
        </w:rPr>
        <w:t xml:space="preserve">Point out an order row:</w:t>
      </w:r>
    </w:p>
    <w:p>
      <w:pPr>
        <w:numPr>
          <w:ilvl w:val="1"/>
          <w:numId w:val="1054"/>
        </w:numPr>
        <w:pStyle w:val="Compact"/>
      </w:pPr>
      <w:r>
        <w:t xml:space="preserve">Status badge (colored)</w:t>
      </w:r>
    </w:p>
    <w:p>
      <w:pPr>
        <w:numPr>
          <w:ilvl w:val="1"/>
          <w:numId w:val="1054"/>
        </w:numPr>
        <w:pStyle w:val="Compact"/>
      </w:pPr>
      <w:r>
        <w:t xml:space="preserve">SLA countdown or overdue indicator</w:t>
      </w:r>
    </w:p>
    <w:p>
      <w:pPr>
        <w:numPr>
          <w:ilvl w:val="1"/>
          <w:numId w:val="1054"/>
        </w:numPr>
        <w:pStyle w:val="Compact"/>
      </w:pPr>
      <w:r>
        <w:t xml:space="preserve">Tier icon (Tier 1 API / Tier 2 Portal / Tier 3 Hybrid / Tier 4 Fax — the demo seed has orders across all four tiers)</w:t>
      </w:r>
    </w:p>
    <w:p>
      <w:pPr>
        <w:numPr>
          <w:ilvl w:val="1"/>
          <w:numId w:val="1054"/>
        </w:numPr>
        <w:pStyle w:val="Compact"/>
      </w:pPr>
      <w:r>
        <w:t xml:space="preserve">Claim button</w:t>
      </w:r>
    </w:p>
    <w:p>
      <w:pPr>
        <w:pStyle w:val="BlockText"/>
      </w:pPr>
      <w:r>
        <w:t xml:space="preserve">“</w:t>
      </w:r>
      <w:r>
        <w:t xml:space="preserve">Each order shows its SLA status. If an order is overdue, it shows in red with the exact hours overdue. Ops can claim orders to prevent duplicate work.</w:t>
      </w:r>
      <w:r>
        <w:t xml:space="preserve">”</w:t>
      </w:r>
    </w:p>
    <w:p>
      <w:pPr>
        <w:numPr>
          <w:ilvl w:val="0"/>
          <w:numId w:val="1055"/>
        </w:numPr>
        <w:pStyle w:val="Compact"/>
      </w:pPr>
      <w:r>
        <w:rPr>
          <w:bCs/>
          <w:b/>
        </w:rPr>
        <w:t xml:space="preserve">Show the filter bar:</w:t>
      </w:r>
    </w:p>
    <w:p>
      <w:pPr>
        <w:numPr>
          <w:ilvl w:val="1"/>
          <w:numId w:val="1056"/>
        </w:numPr>
        <w:pStyle w:val="Compact"/>
      </w:pPr>
      <w:r>
        <w:t xml:space="preserve">Filter by Clinic, Pharmacy, Tier, Date range</w:t>
      </w:r>
    </w:p>
    <w:p>
      <w:pPr>
        <w:numPr>
          <w:ilvl w:val="1"/>
          <w:numId w:val="1056"/>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57"/>
        </w:numPr>
        <w:pStyle w:val="Compact"/>
      </w:pPr>
      <w:r>
        <w:rPr>
          <w:bCs/>
          <w:b/>
        </w:rPr>
        <w:t xml:space="preserve">Click an order</w:t>
      </w:r>
      <w:r>
        <w:t xml:space="preserve"> </w:t>
      </w:r>
      <w:r>
        <w:t xml:space="preserve">to open the detail drawer</w:t>
      </w:r>
    </w:p>
    <w:p>
      <w:pPr>
        <w:numPr>
          <w:ilvl w:val="0"/>
          <w:numId w:val="1057"/>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bookmarkEnd w:id="52"/>
    <w:bookmarkStart w:id="53" w:name="b-sla-heatmap"/>
    <w:p>
      <w:pPr>
        <w:pStyle w:val="Heading3"/>
      </w:pPr>
      <w:r>
        <w:t xml:space="preserve">5B — SLA Heatmap</w:t>
      </w:r>
    </w:p>
    <w:p>
      <w:pPr>
        <w:numPr>
          <w:ilvl w:val="0"/>
          <w:numId w:val="1058"/>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58"/>
        </w:numPr>
        <w:pStyle w:val="Compact"/>
      </w:pPr>
      <w:r>
        <w:rPr>
          <w:bCs/>
          <w:b/>
        </w:rPr>
        <w:t xml:space="preserve">Point out:</w:t>
      </w:r>
    </w:p>
    <w:p>
      <w:pPr>
        <w:numPr>
          <w:ilvl w:val="1"/>
          <w:numId w:val="1059"/>
        </w:numPr>
        <w:pStyle w:val="Compact"/>
      </w:pPr>
      <w:r>
        <w:t xml:space="preserve">Filter pills (All Active, Breached, etc.)</w:t>
      </w:r>
    </w:p>
    <w:p>
      <w:pPr>
        <w:numPr>
          <w:ilvl w:val="1"/>
          <w:numId w:val="1059"/>
        </w:numPr>
        <w:pStyle w:val="Compact"/>
      </w:pPr>
      <w:r>
        <w:t xml:space="preserve">SLA breach cards with countdown timers</w:t>
      </w:r>
    </w:p>
    <w:p>
      <w:pPr>
        <w:numPr>
          <w:ilvl w:val="1"/>
          <w:numId w:val="1059"/>
        </w:numPr>
        <w:pStyle w:val="Compact"/>
      </w:pPr>
      <w:r>
        <w:t xml:space="preserve">Escalation tier indicators</w:t>
      </w:r>
    </w:p>
    <w:p>
      <w:pPr>
        <w:numPr>
          <w:ilvl w:val="1"/>
          <w:numId w:val="1059"/>
        </w:numPr>
        <w:pStyle w:val="Compact"/>
      </w:pPr>
      <w:r>
        <w:t xml:space="preserve">Acknowledge button</w:t>
      </w:r>
    </w:p>
    <w:p>
      <w:pPr>
        <w:pStyle w:val="BlockText"/>
      </w:pPr>
      <w:r>
        <w:t xml:space="preserve">“</w:t>
      </w:r>
      <w:r>
        <w:t xml:space="preserve">The SLA engine runs every 5 minutes. When a deadline is breached, it appears here with a countdown to the next escalation. Three tiers: Slack alert, DM to ops lead, PagerDuty page. Acknowledging stops the escalation — it tells the system</w:t>
      </w:r>
      <w:r>
        <w:t xml:space="preserve"> </w:t>
      </w:r>
      <w:r>
        <w:t xml:space="preserve">‘</w:t>
      </w:r>
      <w:r>
        <w:t xml:space="preserve">I’m on it.</w:t>
      </w:r>
      <w:r>
        <w:t xml:space="preserve">’</w:t>
      </w:r>
      <w:r>
        <w:t xml:space="preserve">”</w:t>
      </w:r>
    </w:p>
    <w:bookmarkEnd w:id="53"/>
    <w:bookmarkStart w:id="54" w:name="c-adapter-health-monitor"/>
    <w:p>
      <w:pPr>
        <w:pStyle w:val="Heading3"/>
      </w:pPr>
      <w:r>
        <w:t xml:space="preserve">5C — Adapter Health Monitor</w:t>
      </w:r>
    </w:p>
    <w:p>
      <w:pPr>
        <w:numPr>
          <w:ilvl w:val="0"/>
          <w:numId w:val="1060"/>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60"/>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61"/>
        </w:numPr>
        <w:pStyle w:val="Compact"/>
      </w:pPr>
      <w:r>
        <w:t xml:space="preserve">A traffic-light health indicator (green / yellow / red for Degraded or Critical / slate for Idle)</w:t>
      </w:r>
    </w:p>
    <w:p>
      <w:pPr>
        <w:numPr>
          <w:ilvl w:val="1"/>
          <w:numId w:val="1061"/>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61"/>
        </w:numPr>
        <w:pStyle w:val="Compact"/>
      </w:pPr>
      <w:r>
        <w:t xml:space="preserve">24-hour submission success rate + total submission count + failure count</w:t>
      </w:r>
    </w:p>
    <w:p>
      <w:pPr>
        <w:numPr>
          <w:ilvl w:val="1"/>
          <w:numId w:val="1061"/>
        </w:numPr>
        <w:pStyle w:val="Compact"/>
      </w:pPr>
      <w:r>
        <w:t xml:space="preserve">p50 / p95 / p99 latency percentiles</w:t>
      </w:r>
    </w:p>
    <w:p>
      <w:pPr>
        <w:numPr>
          <w:ilvl w:val="1"/>
          <w:numId w:val="1061"/>
        </w:numPr>
        <w:pStyle w:val="Compact"/>
      </w:pPr>
      <w:r>
        <w:t xml:space="preserve">A 24-hour submissions bar chart (green bars for successes, pink for failures)</w:t>
      </w:r>
    </w:p>
    <w:p>
      <w:pPr>
        <w:numPr>
          <w:ilvl w:val="1"/>
          <w:numId w:val="1061"/>
        </w:numPr>
        <w:pStyle w:val="Compact"/>
      </w:pPr>
      <w:r>
        <w:t xml:space="preserve">“</w:t>
      </w:r>
      <w:r>
        <w:t xml:space="preserve">Last success</w:t>
      </w:r>
      <w:r>
        <w:t xml:space="preserve">”</w:t>
      </w:r>
      <w:r>
        <w:t xml:space="preserve"> </w:t>
      </w:r>
      <w:r>
        <w:t xml:space="preserve">relative timestamp</w:t>
      </w:r>
    </w:p>
    <w:p>
      <w:pPr>
        <w:numPr>
          <w:ilvl w:val="1"/>
          <w:numId w:val="1061"/>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54"/>
    <w:bookmarkStart w:id="55" w:name="d-fax-triage-queue"/>
    <w:p>
      <w:pPr>
        <w:pStyle w:val="Heading3"/>
      </w:pPr>
      <w:r>
        <w:t xml:space="preserve">5D — Fax Triage Queue</w:t>
      </w:r>
    </w:p>
    <w:p>
      <w:pPr>
        <w:numPr>
          <w:ilvl w:val="0"/>
          <w:numId w:val="1062"/>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62"/>
        </w:numPr>
        <w:pStyle w:val="Compact"/>
      </w:pPr>
      <w:r>
        <w:rPr>
          <w:bCs/>
          <w:b/>
        </w:rPr>
        <w:t xml:space="preserve">Point out what the page is:</w:t>
      </w:r>
    </w:p>
    <w:p>
      <w:pPr>
        <w:numPr>
          <w:ilvl w:val="1"/>
          <w:numId w:val="1063"/>
        </w:numPr>
        <w:pStyle w:val="Compact"/>
      </w:pPr>
      <w:r>
        <w:t xml:space="preserve">Status filter pills across the top (All, Received, Matched, Unmatched, Processed, Archived)</w:t>
      </w:r>
    </w:p>
    <w:p>
      <w:pPr>
        <w:numPr>
          <w:ilvl w:val="1"/>
          <w:numId w:val="1063"/>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63"/>
        </w:numPr>
        <w:pStyle w:val="Compact"/>
      </w:pPr>
      <w:r>
        <w:t xml:space="preserve">A list of inbound fax rows — each one shows status, from-number, page count, relative received-at timestamp, matched pharmacy/order if any</w:t>
      </w:r>
    </w:p>
    <w:p>
      <w:pPr>
        <w:numPr>
          <w:ilvl w:val="1"/>
          <w:numId w:val="1063"/>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55"/>
    <w:bookmarkStart w:id="56" w:name="e-catalog-manager"/>
    <w:p>
      <w:pPr>
        <w:pStyle w:val="Heading3"/>
      </w:pPr>
      <w:r>
        <w:t xml:space="preserve">5E — Catalog Manager</w:t>
      </w:r>
    </w:p>
    <w:p>
      <w:pPr>
        <w:numPr>
          <w:ilvl w:val="0"/>
          <w:numId w:val="1064"/>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64"/>
        </w:numPr>
        <w:pStyle w:val="Compact"/>
      </w:pPr>
      <w:r>
        <w:rPr>
          <w:bCs/>
          <w:b/>
        </w:rPr>
        <w:t xml:space="preserve">Point out — two catalogs, clearly separated on one screen (new in v2.11):</w:t>
      </w:r>
    </w:p>
    <w:p>
      <w:pPr>
        <w:numPr>
          <w:ilvl w:val="1"/>
          <w:numId w:val="1065"/>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 (Counts are live, so read whatever the screen says.)</w:t>
      </w:r>
    </w:p>
    <w:p>
      <w:pPr>
        <w:numPr>
          <w:ilvl w:val="1"/>
          <w:numId w:val="1065"/>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t xml:space="preserve">“</w:t>
      </w:r>
      <w:r>
        <w:t xml:space="preserve">Two things live on this screen and they do different jobs. The top block is the product catalog — ingredients, salt forms, formulations, and which pharmacies offer each one at what price. That’s the tree the prescription builder walked down when I picked Semaglutide a few minutes ago. 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r>
        <w:t xml:space="preserve">”</w:t>
      </w:r>
    </w:p>
    <w:p>
      <w:pPr>
        <w:pStyle w:val="BlockText"/>
      </w:pPr>
      <w:r>
        <w:rPr>
          <w:bCs/>
          <w:b/>
        </w:rPr>
        <w:t xml:space="preserve">Narrator cue:</w:t>
      </w:r>
      <w:r>
        <w:t xml:space="preserve"> </w:t>
      </w:r>
      <w:r>
        <w:t xml:space="preserve">if a prospect asks why the price-list item count is small, the honest answer is the right one:</w:t>
      </w:r>
      <w:r>
        <w:t xml:space="preserve"> </w:t>
      </w:r>
      <w:r>
        <w:t xml:space="preserve">“</w:t>
      </w:r>
      <w:r>
        <w:t xml:space="preserve">That’s the raw CSV import table, not the product catalog — it only has the rows a pharmacy has actually sent us a price sheet for. The product catalog is the block above it.</w:t>
      </w:r>
      <w:r>
        <w:t xml:space="preserve">”</w:t>
      </w:r>
    </w:p>
    <w:p>
      <w:r>
        <w:pict>
          <v:rect style="width:0;height:1.5pt" o:hralign="center" o:hrstd="t" o:hr="t"/>
        </w:pict>
      </w:r>
    </w:p>
    <w:bookmarkEnd w:id="56"/>
    <w:bookmarkEnd w:id="57"/>
    <w:bookmarkStart w:id="61" w:name="X27570dffca2ddc5ec18f24291aec74d220817ad"/>
    <w:p>
      <w:pPr>
        <w:pStyle w:val="Heading2"/>
      </w:pPr>
      <w:r>
        <w:t xml:space="preserve">Part 6: Architecture Highlights (3–5 minutes, no demo)</w:t>
      </w:r>
    </w:p>
    <w:bookmarkStart w:id="58"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58"/>
    <w:bookmarkStart w:id="59"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59"/>
    <w:bookmarkStart w:id="60"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 10 cron jobs handle SLA enforcement, payment expiry, adapter health, and daily ops digest. Everything is atomic — Compare-And-Swap patterns on every state transition prevent race conditions.</w:t>
      </w:r>
      <w:r>
        <w:t xml:space="preserve">”</w:t>
      </w:r>
    </w:p>
    <w:p>
      <w:r>
        <w:pict>
          <v:rect style="width:0;height:1.5pt" o:hralign="center" o:hrstd="t" o:hr="t"/>
        </w:pict>
      </w:r>
    </w:p>
    <w:bookmarkEnd w:id="60"/>
    <w:bookmarkEnd w:id="61"/>
    <w:bookmarkStart w:id="64" w:name="part-7-qa-wrap-up"/>
    <w:p>
      <w:pPr>
        <w:pStyle w:val="Heading2"/>
      </w:pPr>
      <w:r>
        <w:t xml:space="preserve">Part 7: Q&amp;A / Wrap-Up</w:t>
      </w:r>
    </w:p>
    <w:bookmarkStart w:id="62"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t xml:space="preserve">10 Vercel cron jobs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2"/>
    <w:bookmarkStart w:id="63"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w:t>
      </w:r>
      <w:r>
        <w:t xml:space="preserve">”</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63"/>
    <w:bookmarkEnd w:id="64"/>
    <w:bookmarkStart w:id="65" w:name="post-demo-checklist"/>
    <w:p>
      <w:pPr>
        <w:pStyle w:val="Heading2"/>
      </w:pPr>
      <w:r>
        <w:t xml:space="preserve">Post-Demo Checklist</w:t>
      </w:r>
    </w:p>
    <w:p>
      <w:pPr>
        <w:numPr>
          <w:ilvl w:val="0"/>
          <w:numId w:val="1066"/>
        </w:numPr>
        <w:pStyle w:val="Compact"/>
      </w:pPr>
      <w:r>
        <w:t xml:space="preserve">☐ Answer all questions</w:t>
      </w:r>
    </w:p>
    <w:p>
      <w:pPr>
        <w:numPr>
          <w:ilvl w:val="0"/>
          <w:numId w:val="1066"/>
        </w:numPr>
        <w:pStyle w:val="Compact"/>
      </w:pPr>
      <w:r>
        <w:t xml:space="preserve">☐ Share POC URL if appropriate</w:t>
      </w:r>
    </w:p>
    <w:p>
      <w:pPr>
        <w:numPr>
          <w:ilvl w:val="0"/>
          <w:numId w:val="1066"/>
        </w:numPr>
        <w:pStyle w:val="Compact"/>
      </w:pPr>
      <w:r>
        <w:t xml:space="preserve">☐ Note any feedback or feature requests</w:t>
      </w:r>
    </w:p>
    <w:p>
      <w:pPr>
        <w:numPr>
          <w:ilvl w:val="0"/>
          <w:numId w:val="1066"/>
        </w:numPr>
        <w:pStyle w:val="Compact"/>
      </w:pPr>
      <w:r>
        <w:t xml:space="preserve">☐ Schedule follow-up if interest</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3">
    <w:abstractNumId w:val="991"/>
  </w:num>
  <w:num w:numId="102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9">
    <w:abstractNumId w:val="991"/>
  </w:num>
  <w:num w:numId="103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32">
    <w:abstractNumId w:val="991"/>
  </w:num>
  <w:num w:numId="1033">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4">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36">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7">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8">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9">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1"/>
  </w:num>
  <w:num w:numId="1047">
    <w:abstractNumId w:val="991"/>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1"/>
  </w:num>
  <w:num w:numId="105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6">
    <w:abstractNumId w:val="991"/>
  </w:num>
  <w:num w:numId="105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9">
    <w:abstractNumId w:val="991"/>
  </w:num>
  <w:num w:numId="106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1">
    <w:abstractNumId w:val="991"/>
  </w:num>
  <w:num w:numId="106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63">
    <w:abstractNumId w:val="991"/>
  </w:num>
  <w:num w:numId="106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2026-09-10T20:13:47Z</dcterms:created>
  <dcterms:modified xsi:type="dcterms:W3CDTF">2026-09-10T20:13:47Z</dcterms:modified>
</cp:coreProperties>
</file>

<file path=docProps/custom.xml><?xml version="1.0" encoding="utf-8"?>
<Properties xmlns="http://schemas.openxmlformats.org/officeDocument/2006/custom-properties" xmlns:vt="http://schemas.openxmlformats.org/officeDocument/2006/docPropsVTypes"/>
</file>