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1"/>
        </w:numPr>
        <w:pStyle w:val="Compact"/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20"/>
    <w:bookmarkStart w:id="28" w:name="demo-flow-6-steps"/>
    <w:p>
      <w:pPr>
        <w:pStyle w:val="Heading2"/>
      </w:pPr>
      <w:r>
        <w:t xml:space="preserve">Demo Flow (6 Steps)</w:t>
      </w:r>
    </w:p>
    <w:bookmarkStart w:id="21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2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2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2"/>
    <w:bookmarkStart w:id="23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4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4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4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23"/>
    <w:bookmarkStart w:id="24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6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6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 $300 total</w:t>
      </w:r>
    </w:p>
    <w:p>
      <w:pPr>
        <w:numPr>
          <w:ilvl w:val="0"/>
          <w:numId w:val="1006"/>
        </w:numPr>
        <w:pStyle w:val="Compact"/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0"/>
          <w:numId w:val="1006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</w:t>
      </w:r>
      <w:r>
        <w:t xml:space="preserve">Within 3–7 business days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7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7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7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08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08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2026-09-10T20:13:47Z</dcterms:created>
  <dcterms:modified xsi:type="dcterms:W3CDTF">2026-09-10T20:13:47Z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