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mpoundiq-pharmacy-integration-guide"/>
    <w:p>
      <w:pPr>
        <w:pStyle w:val="Heading1"/>
      </w:pPr>
      <w:r>
        <w:t xml:space="preserve">CompoundIQ — Pharmacy Integration Guide</w:t>
      </w:r>
    </w:p>
    <w:p>
      <w:pPr>
        <w:pStyle w:val="FirstParagraph"/>
      </w:pPr>
      <w:r>
        <w:rPr>
          <w:b/>
          <w:bCs/>
        </w:rPr>
        <w:t xml:space="preserve">Version:</w:t>
      </w:r>
      <w:r>
        <w:t xml:space="preserve"> </w:t>
      </w:r>
      <w:r>
        <w:t xml:space="preserve">2.0 |</w:t>
      </w:r>
      <w:r>
        <w:t xml:space="preserve"> </w:t>
      </w:r>
      <w:r>
        <w:rPr>
          <w:b/>
          <w:bCs/>
        </w:rPr>
        <w:t xml:space="preserve">Date:</w:t>
      </w:r>
      <w:r>
        <w:t xml:space="preserve"> </w:t>
      </w:r>
      <w:r>
        <w:t xml:space="preserve">April 9, 2026</w:t>
      </w:r>
      <w:r>
        <w:t xml:space="preserve"> </w:t>
      </w:r>
      <w:r>
        <w:rPr>
          <w:b/>
          <w:bCs/>
        </w:rPr>
        <w:t xml:space="preserve">Audience:</w:t>
      </w:r>
      <w:r>
        <w:t xml:space="preserve"> </w:t>
      </w:r>
      <w:r>
        <w:t xml:space="preserve">Pharmacy technical teams, integration engineers, API developers</w:t>
      </w:r>
    </w:p>
    <w:p>
      <w:r>
        <w:pict>
          <v:rect style="width:0;height:1.5pt" o:hralign="center" o:hrstd="t" o:hr="t"/>
        </w:pict>
      </w:r>
    </w:p>
    <w:bookmarkStart w:id="9" w:name="welcome"/>
    <w:p>
      <w:pPr>
        <w:pStyle w:val="Heading2"/>
      </w:pPr>
      <w:r>
        <w:t xml:space="preserve">Welcome</w:t>
      </w:r>
    </w:p>
    <w:p>
      <w:pPr>
        <w:pStyle w:val="FirstParagraph"/>
      </w:pPr>
      <w:r>
        <w:t xml:space="preserve">This guide is for compounding pharmacy technical teams who want to integrate with the CompoundIQ platform. Integration enables your pharmacy to receive structured, error-free prescription orders digitally — replacing faxed prescriptions with real-time API communication.</w:t>
      </w:r>
    </w:p>
    <w:p>
      <w:pPr>
        <w:pStyle w:val="BodyText"/>
      </w:pPr>
      <w:r>
        <w:t xml:space="preserve">CompoundIQ supports four integration tiers. This guide covers Tier 1 (Direct REST API) and Tier 3 (Standardized API Specification), which are the recommended integration paths for pharmacies with technical capability.</w:t>
      </w:r>
    </w:p>
    <w:p>
      <w:r>
        <w:pict>
          <v:rect style="width:0;height:1.5pt" o:hralign="center" o:hrstd="t" o:hr="t"/>
        </w:pict>
      </w:r>
    </w:p>
    <w:bookmarkEnd w:id="9"/>
    <w:bookmarkStart w:id="10" w:name="Xa6bc62282e804708f540218c355323d5d5287d6"/>
    <w:p>
      <w:pPr>
        <w:pStyle w:val="Heading2"/>
      </w:pPr>
      <w:r>
        <w:t xml:space="preserve">Integration Tiers — Which One Is Right for You?</w:t>
      </w:r>
    </w:p>
    <w:tbl>
      <w:tblPr>
        <w:tblStyle w:val="Table"/>
        <w:tblW w:type="pct" w:w="5000"/>
        <w:tblLayout w:type="fixed"/>
        <w:tblLook w:firstRow="1" w:lastRow="0" w:firstColumn="0" w:lastColumn="0" w:noHBand="0" w:noVBand="0" w:val="0020"/>
      </w:tblPr>
      <w:tblGrid>
        <w:gridCol w:w="1080"/>
        <w:gridCol w:w="2520"/>
        <w:gridCol w:w="2340"/>
        <w:gridCol w:w="1980"/>
      </w:tblGrid>
      <w:tr>
        <w:trPr>
          <w:tblHeader w:val="on"/>
        </w:trPr>
        <w:tc>
          <w:tcPr/>
          <w:p>
            <w:pPr>
              <w:pStyle w:val="Compact"/>
            </w:pPr>
            <w:r>
              <w:t xml:space="preserve">Tier</w:t>
            </w:r>
          </w:p>
        </w:tc>
        <w:tc>
          <w:tcPr/>
          <w:p>
            <w:pPr>
              <w:pStyle w:val="Compact"/>
            </w:pPr>
            <w:r>
              <w:t xml:space="preserve">What You Need</w:t>
            </w:r>
          </w:p>
        </w:tc>
        <w:tc>
          <w:tcPr/>
          <w:p>
            <w:pPr>
              <w:pStyle w:val="Compact"/>
            </w:pPr>
            <w:r>
              <w:t xml:space="preserve">What You Get</w:t>
            </w:r>
          </w:p>
        </w:tc>
        <w:tc>
          <w:tcPr/>
          <w:p>
            <w:pPr>
              <w:pStyle w:val="Compact"/>
            </w:pPr>
            <w:r>
              <w:t xml:space="preserve">Setup Time</w:t>
            </w:r>
          </w:p>
        </w:tc>
      </w:tr>
      <w:tr>
        <w:tc>
          <w:tcPr/>
          <w:p>
            <w:pPr>
              <w:pStyle w:val="Compact"/>
            </w:pPr>
            <w:r>
              <w:rPr>
                <w:b/>
                <w:bCs/>
              </w:rPr>
              <w:t xml:space="preserve">Tier 1 — Direct API</w:t>
            </w:r>
          </w:p>
        </w:tc>
        <w:tc>
          <w:tcPr/>
          <w:p>
            <w:pPr>
              <w:pStyle w:val="Compact"/>
            </w:pPr>
            <w:r>
              <w:t xml:space="preserve">Your pharmacy already has a REST API</w:t>
            </w:r>
          </w:p>
        </w:tc>
        <w:tc>
          <w:tcPr/>
          <w:p>
            <w:pPr>
              <w:pStyle w:val="Compact"/>
            </w:pPr>
            <w:r>
              <w:t xml:space="preserve">We integrate with your existing API. You receive orders and send status updates via webhooks.</w:t>
            </w:r>
          </w:p>
        </w:tc>
        <w:tc>
          <w:tcPr/>
          <w:p>
            <w:pPr>
              <w:pStyle w:val="Compact"/>
            </w:pPr>
            <w:r>
              <w:t xml:space="preserve">1–2 weeks</w:t>
            </w:r>
          </w:p>
        </w:tc>
      </w:tr>
      <w:tr>
        <w:tc>
          <w:tcPr/>
          <w:p>
            <w:pPr>
              <w:pStyle w:val="Compact"/>
            </w:pPr>
            <w:r>
              <w:rPr>
                <w:b/>
                <w:bCs/>
              </w:rPr>
              <w:t xml:space="preserve">Tier 3 — Our Published Spec</w:t>
            </w:r>
          </w:p>
        </w:tc>
        <w:tc>
          <w:tcPr/>
          <w:p>
            <w:pPr>
              <w:pStyle w:val="Compact"/>
            </w:pPr>
            <w:r>
              <w:t xml:space="preserve">Your pharmacy can implement an API</w:t>
            </w:r>
          </w:p>
        </w:tc>
        <w:tc>
          <w:tcPr/>
          <w:p>
            <w:pPr>
              <w:pStyle w:val="Compact"/>
            </w:pPr>
            <w:r>
              <w:t xml:space="preserve">You implement our standardized specification. Same benefits as Tier 1 but using a common contract.</w:t>
            </w:r>
          </w:p>
        </w:tc>
        <w:tc>
          <w:tcPr/>
          <w:p>
            <w:pPr>
              <w:pStyle w:val="Compact"/>
            </w:pPr>
            <w:r>
              <w:t xml:space="preserve">2–4 weeks</w:t>
            </w:r>
          </w:p>
        </w:tc>
      </w:tr>
      <w:tr>
        <w:tc>
          <w:tcPr/>
          <w:p>
            <w:pPr>
              <w:pStyle w:val="Compact"/>
            </w:pPr>
            <w:r>
              <w:rPr>
                <w:b/>
                <w:bCs/>
              </w:rPr>
              <w:t xml:space="preserve">Tier 2 — Portal Automation</w:t>
            </w:r>
          </w:p>
        </w:tc>
        <w:tc>
          <w:tcPr/>
          <w:p>
            <w:pPr>
              <w:pStyle w:val="Compact"/>
            </w:pPr>
            <w:r>
              <w:t xml:space="preserve">Your pharmacy has a web portal (no API)</w:t>
            </w:r>
          </w:p>
        </w:tc>
        <w:tc>
          <w:tcPr/>
          <w:p>
            <w:pPr>
              <w:pStyle w:val="Compact"/>
            </w:pPr>
            <w:r>
              <w:t xml:space="preserve">We automate order submission through your existing portal using headless browser technology. No development work on your end.</w:t>
            </w:r>
          </w:p>
        </w:tc>
        <w:tc>
          <w:tcPr/>
          <w:p>
            <w:pPr>
              <w:pStyle w:val="Compact"/>
            </w:pPr>
            <w:r>
              <w:t xml:space="preserve">1 week (our side)</w:t>
            </w:r>
          </w:p>
        </w:tc>
      </w:tr>
      <w:tr>
        <w:tc>
          <w:tcPr/>
          <w:p>
            <w:pPr>
              <w:pStyle w:val="Compact"/>
            </w:pPr>
            <w:r>
              <w:rPr>
                <w:b/>
                <w:bCs/>
              </w:rPr>
              <w:t xml:space="preserve">Tier 4 — Fax</w:t>
            </w:r>
          </w:p>
        </w:tc>
        <w:tc>
          <w:tcPr/>
          <w:p>
            <w:pPr>
              <w:pStyle w:val="Compact"/>
            </w:pPr>
            <w:r>
              <w:t xml:space="preserve">No API or portal</w:t>
            </w:r>
          </w:p>
        </w:tc>
        <w:tc>
          <w:tcPr/>
          <w:p>
            <w:pPr>
              <w:pStyle w:val="Compact"/>
            </w:pPr>
            <w:r>
              <w:t xml:space="preserve">We fax prescriptions to your registered fax number. This is the default for all pharmacies.</w:t>
            </w:r>
          </w:p>
        </w:tc>
        <w:tc>
          <w:tcPr/>
          <w:p>
            <w:pPr>
              <w:pStyle w:val="Compact"/>
            </w:pPr>
            <w:r>
              <w:t xml:space="preserve">Immediate</w:t>
            </w:r>
          </w:p>
        </w:tc>
      </w:tr>
    </w:tbl>
    <w:p>
      <w:pPr>
        <w:pStyle w:val="BodyText"/>
      </w:pPr>
      <w:r>
        <w:rPr>
          <w:b/>
          <w:bCs/>
        </w:rPr>
        <w:t xml:space="preserve">If your pharmacy has an existing API</w:t>
      </w:r>
      <w:r>
        <w:t xml:space="preserve"> </w:t>
      </w:r>
      <w:r>
        <w:t xml:space="preserve">(like ReviveRX, Vios, MediVera, or LifeFile), choose</w:t>
      </w:r>
      <w:r>
        <w:t xml:space="preserve"> </w:t>
      </w:r>
      <w:r>
        <w:rPr>
          <w:b/>
          <w:bCs/>
        </w:rPr>
        <w:t xml:space="preserve">Tier 1</w:t>
      </w:r>
      <w:r>
        <w:t xml:space="preserve">.</w:t>
      </w:r>
      <w:r>
        <w:t xml:space="preserve"> </w:t>
      </w:r>
      <w:r>
        <w:rPr>
          <w:b/>
          <w:bCs/>
        </w:rPr>
        <w:t xml:space="preserve">If your pharmacy wants to build an API</w:t>
      </w:r>
      <w:r>
        <w:t xml:space="preserve">, choose</w:t>
      </w:r>
      <w:r>
        <w:t xml:space="preserve"> </w:t>
      </w:r>
      <w:r>
        <w:rPr>
          <w:b/>
          <w:bCs/>
        </w:rPr>
        <w:t xml:space="preserve">Tier 3</w:t>
      </w:r>
      <w:r>
        <w:t xml:space="preserve"> </w:t>
      </w:r>
      <w:r>
        <w:t xml:space="preserve">and implement our published specification.</w:t>
      </w:r>
      <w:r>
        <w:t xml:space="preserve"> </w:t>
      </w:r>
      <w:r>
        <w:rPr>
          <w:b/>
          <w:bCs/>
        </w:rPr>
        <w:t xml:space="preserve">If your pharmacy only has a web portal</w:t>
      </w:r>
      <w:r>
        <w:t xml:space="preserve">, we handle</w:t>
      </w:r>
      <w:r>
        <w:t xml:space="preserve"> </w:t>
      </w:r>
      <w:r>
        <w:rPr>
          <w:b/>
          <w:bCs/>
        </w:rPr>
        <w:t xml:space="preserve">Tier 2</w:t>
      </w:r>
      <w:r>
        <w:t xml:space="preserve"> </w:t>
      </w:r>
      <w:r>
        <w:t xml:space="preserve">— no work required from your team.</w:t>
      </w:r>
    </w:p>
    <w:p>
      <w:r>
        <w:pict>
          <v:rect style="width:0;height:1.5pt" o:hralign="center" o:hrstd="t" o:hr="t"/>
        </w:pict>
      </w:r>
    </w:p>
    <w:bookmarkEnd w:id="10"/>
    <w:bookmarkStart w:id="16" w:name="tier-1-integrating-your-existing-api"/>
    <w:p>
      <w:pPr>
        <w:pStyle w:val="Heading2"/>
      </w:pPr>
      <w:r>
        <w:t xml:space="preserve">Tier 1 — Integrating Your Existing API</w:t>
      </w:r>
    </w:p>
    <w:bookmarkStart w:id="11" w:name="what-we-need-from-you"/>
    <w:p>
      <w:pPr>
        <w:pStyle w:val="Heading3"/>
      </w:pPr>
      <w:r>
        <w:t xml:space="preserve">What We Need From You</w:t>
      </w:r>
    </w:p>
    <w:p>
      <w:pPr>
        <w:pStyle w:val="Compact"/>
        <w:numPr>
          <w:ilvl w:val="0"/>
          <w:numId w:val="1001"/>
        </w:numPr>
      </w:pPr>
      <w:r>
        <w:rPr>
          <w:b/>
          <w:bCs/>
        </w:rPr>
        <w:t xml:space="preserve">API base URL</w:t>
      </w:r>
      <w:r>
        <w:t xml:space="preserve"> </w:t>
      </w:r>
      <w:r>
        <w:t xml:space="preserve">— The root URL for your REST API (e.g.,</w:t>
      </w:r>
      <w:r>
        <w:t xml:space="preserve"> </w:t>
      </w:r>
      <w:r>
        <w:rPr>
          <w:rStyle w:val="VerbatimChar"/>
        </w:rPr>
        <w:t xml:space="preserve">https://api.yourpharmacy.com/v1</w:t>
      </w:r>
      <w:r>
        <w:t xml:space="preserve">)</w:t>
      </w:r>
    </w:p>
    <w:p>
      <w:pPr>
        <w:pStyle w:val="Compact"/>
        <w:numPr>
          <w:ilvl w:val="0"/>
          <w:numId w:val="1001"/>
        </w:numPr>
      </w:pPr>
      <w:r>
        <w:rPr>
          <w:b/>
          <w:bCs/>
        </w:rPr>
        <w:t xml:space="preserve">Authentication credentials</w:t>
      </w:r>
      <w:r>
        <w:t xml:space="preserve"> </w:t>
      </w:r>
      <w:r>
        <w:t xml:space="preserve">— API key, bearer token, or OAuth client credentials</w:t>
      </w:r>
    </w:p>
    <w:p>
      <w:pPr>
        <w:pStyle w:val="Compact"/>
        <w:numPr>
          <w:ilvl w:val="0"/>
          <w:numId w:val="1001"/>
        </w:numPr>
      </w:pPr>
      <w:r>
        <w:rPr>
          <w:b/>
          <w:bCs/>
        </w:rPr>
        <w:t xml:space="preserve">API documentation</w:t>
      </w:r>
      <w:r>
        <w:t xml:space="preserve"> </w:t>
      </w:r>
      <w:r>
        <w:t xml:space="preserve">— Your endpoint specifications for order submission and status queries</w:t>
      </w:r>
    </w:p>
    <w:p>
      <w:pPr>
        <w:pStyle w:val="Compact"/>
        <w:numPr>
          <w:ilvl w:val="0"/>
          <w:numId w:val="1001"/>
        </w:numPr>
      </w:pPr>
      <w:r>
        <w:rPr>
          <w:b/>
          <w:bCs/>
        </w:rPr>
        <w:t xml:space="preserve">Webhook endpoint on your side</w:t>
      </w:r>
      <w:r>
        <w:t xml:space="preserve"> </w:t>
      </w:r>
      <w:r>
        <w:t xml:space="preserve">(optional) — If you want to push status updates to us proactively</w:t>
      </w:r>
    </w:p>
    <w:p>
      <w:pPr>
        <w:pStyle w:val="Compact"/>
        <w:numPr>
          <w:ilvl w:val="0"/>
          <w:numId w:val="1001"/>
        </w:numPr>
      </w:pPr>
      <w:r>
        <w:rPr>
          <w:b/>
          <w:bCs/>
        </w:rPr>
        <w:t xml:space="preserve">Test environment</w:t>
      </w:r>
      <w:r>
        <w:t xml:space="preserve"> </w:t>
      </w:r>
      <w:r>
        <w:t xml:space="preserve">— A sandbox or test mode for integration testing before going live</w:t>
      </w:r>
    </w:p>
    <w:bookmarkEnd w:id="11"/>
    <w:bookmarkStart w:id="12" w:name="what-we-provide-to-you"/>
    <w:p>
      <w:pPr>
        <w:pStyle w:val="Heading3"/>
      </w:pPr>
      <w:r>
        <w:t xml:space="preserve">What We Provide to You</w:t>
      </w:r>
    </w:p>
    <w:p>
      <w:pPr>
        <w:pStyle w:val="Compact"/>
        <w:numPr>
          <w:ilvl w:val="0"/>
          <w:numId w:val="1002"/>
        </w:numPr>
      </w:pPr>
      <w:r>
        <w:rPr>
          <w:b/>
          <w:bCs/>
        </w:rPr>
        <w:t xml:space="preserve">Webhook receiver endpoint</w:t>
      </w:r>
      <w:r>
        <w:t xml:space="preserve"> </w:t>
      </w:r>
      <w:r>
        <w:t xml:space="preserve">—</w:t>
      </w:r>
      <w:r>
        <w:t xml:space="preserve"> </w:t>
      </w:r>
      <w:r>
        <w:rPr>
          <w:rStyle w:val="VerbatimChar"/>
        </w:rPr>
        <w:t xml:space="preserve">https://app.compoundiq.com/api/webhooks/pharmacy/{your-slug}</w:t>
      </w:r>
    </w:p>
    <w:p>
      <w:pPr>
        <w:pStyle w:val="Compact"/>
        <w:numPr>
          <w:ilvl w:val="0"/>
          <w:numId w:val="1002"/>
        </w:numPr>
      </w:pPr>
      <w:r>
        <w:rPr>
          <w:b/>
          <w:bCs/>
        </w:rPr>
        <w:t xml:space="preserve">Webhook signing secret</w:t>
      </w:r>
      <w:r>
        <w:t xml:space="preserve"> </w:t>
      </w:r>
      <w:r>
        <w:t xml:space="preserve">— An HMAC-SHA256 shared secret for verifying webhook authenticity</w:t>
      </w:r>
    </w:p>
    <w:p>
      <w:pPr>
        <w:pStyle w:val="Compact"/>
        <w:numPr>
          <w:ilvl w:val="0"/>
          <w:numId w:val="1002"/>
        </w:numPr>
      </w:pPr>
      <w:r>
        <w:rPr>
          <w:b/>
          <w:bCs/>
        </w:rPr>
        <w:t xml:space="preserve">Order payload format</w:t>
      </w:r>
      <w:r>
        <w:t xml:space="preserve"> </w:t>
      </w:r>
      <w:r>
        <w:t xml:space="preserve">— The structure of prescription orders we send to your API</w:t>
      </w:r>
    </w:p>
    <w:p>
      <w:pPr>
        <w:pStyle w:val="Compact"/>
        <w:numPr>
          <w:ilvl w:val="0"/>
          <w:numId w:val="1002"/>
        </w:numPr>
      </w:pPr>
      <w:r>
        <w:rPr>
          <w:b/>
          <w:bCs/>
        </w:rPr>
        <w:t xml:space="preserve">Test orders</w:t>
      </w:r>
      <w:r>
        <w:t xml:space="preserve"> </w:t>
      </w:r>
      <w:r>
        <w:t xml:space="preserve">— Synthetic test prescriptions for validating the integration</w:t>
      </w:r>
    </w:p>
    <w:bookmarkEnd w:id="12"/>
    <w:bookmarkStart w:id="13" w:name="order-submission-payload"/>
    <w:p>
      <w:pPr>
        <w:pStyle w:val="Heading3"/>
      </w:pPr>
      <w:r>
        <w:t xml:space="preserve">Order Submission Payload</w:t>
      </w:r>
    </w:p>
    <w:p>
      <w:pPr>
        <w:pStyle w:val="FirstParagraph"/>
      </w:pPr>
      <w:r>
        <w:t xml:space="preserve">When CompoundIQ submits an order to your API, the payload contains:</w:t>
      </w:r>
    </w:p>
    <w:p>
      <w:pPr>
        <w:pStyle w:val="SourceCode"/>
      </w:pP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"prescription"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"medication_name"</w:t>
      </w:r>
      <w:r>
        <w:rPr>
          <w:rStyle w:val="FunctionTok"/>
        </w:rPr>
        <w:t xml:space="preserve">:</w:t>
      </w:r>
      <w:r>
        <w:rPr>
          <w:rStyle w:val="NormalTok"/>
        </w:rPr>
        <w:t xml:space="preserve"> </w:t>
      </w:r>
      <w:r>
        <w:rPr>
          <w:rStyle w:val="StringTok"/>
        </w:rPr>
        <w:t xml:space="preserve">"Semaglutide 5mg/mL Injectable"</w:t>
      </w:r>
      <w:r>
        <w:rPr>
          <w:rStyle w:val="FunctionTok"/>
        </w:rPr>
        <w:t xml:space="preserve">,</w:t>
      </w:r>
      <w:r>
        <w:br/>
      </w:r>
      <w:r>
        <w:rPr>
          <w:rStyle w:val="NormalTok"/>
        </w:rPr>
        <w:t xml:space="preserve">    </w:t>
      </w:r>
      <w:r>
        <w:rPr>
          <w:rStyle w:val="DataTypeTok"/>
        </w:rPr>
        <w:t xml:space="preserve">"ingredient"</w:t>
      </w:r>
      <w:r>
        <w:rPr>
          <w:rStyle w:val="FunctionTok"/>
        </w:rPr>
        <w:t xml:space="preserve">:</w:t>
      </w:r>
      <w:r>
        <w:rPr>
          <w:rStyle w:val="NormalTok"/>
        </w:rPr>
        <w:t xml:space="preserve"> </w:t>
      </w:r>
      <w:r>
        <w:rPr>
          <w:rStyle w:val="StringTok"/>
        </w:rPr>
        <w:t xml:space="preserve">"Semaglutide"</w:t>
      </w:r>
      <w:r>
        <w:rPr>
          <w:rStyle w:val="FunctionTok"/>
        </w:rPr>
        <w:t xml:space="preserve">,</w:t>
      </w:r>
      <w:r>
        <w:br/>
      </w:r>
      <w:r>
        <w:rPr>
          <w:rStyle w:val="NormalTok"/>
        </w:rPr>
        <w:t xml:space="preserve">    </w:t>
      </w:r>
      <w:r>
        <w:rPr>
          <w:rStyle w:val="DataTypeTok"/>
        </w:rPr>
        <w:t xml:space="preserve">"salt_form"</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"formulation"</w:t>
      </w:r>
      <w:r>
        <w:rPr>
          <w:rStyle w:val="FunctionTok"/>
        </w:rPr>
        <w:t xml:space="preserve">:</w:t>
      </w:r>
      <w:r>
        <w:rPr>
          <w:rStyle w:val="NormalTok"/>
        </w:rPr>
        <w:t xml:space="preserve"> </w:t>
      </w:r>
      <w:r>
        <w:rPr>
          <w:rStyle w:val="StringTok"/>
        </w:rPr>
        <w:t xml:space="preserve">"Semaglutide 5mg/mL Injectable"</w:t>
      </w:r>
      <w:r>
        <w:rPr>
          <w:rStyle w:val="FunctionTok"/>
        </w:rPr>
        <w:t xml:space="preserve">,</w:t>
      </w:r>
      <w:r>
        <w:br/>
      </w:r>
      <w:r>
        <w:rPr>
          <w:rStyle w:val="NormalTok"/>
        </w:rPr>
        <w:t xml:space="preserve">    </w:t>
      </w:r>
      <w:r>
        <w:rPr>
          <w:rStyle w:val="DataTypeTok"/>
        </w:rPr>
        <w:t xml:space="preserve">"dosage_form"</w:t>
      </w:r>
      <w:r>
        <w:rPr>
          <w:rStyle w:val="FunctionTok"/>
        </w:rPr>
        <w:t xml:space="preserve">:</w:t>
      </w:r>
      <w:r>
        <w:rPr>
          <w:rStyle w:val="NormalTok"/>
        </w:rPr>
        <w:t xml:space="preserve"> </w:t>
      </w:r>
      <w:r>
        <w:rPr>
          <w:rStyle w:val="StringTok"/>
        </w:rPr>
        <w:t xml:space="preserve">"Injectable Solution"</w:t>
      </w:r>
      <w:r>
        <w:rPr>
          <w:rStyle w:val="FunctionTok"/>
        </w:rPr>
        <w:t xml:space="preserve">,</w:t>
      </w:r>
      <w:r>
        <w:br/>
      </w:r>
      <w:r>
        <w:rPr>
          <w:rStyle w:val="NormalTok"/>
        </w:rPr>
        <w:t xml:space="preserve">    </w:t>
      </w:r>
      <w:r>
        <w:rPr>
          <w:rStyle w:val="DataTypeTok"/>
        </w:rPr>
        <w:t xml:space="preserve">"route"</w:t>
      </w:r>
      <w:r>
        <w:rPr>
          <w:rStyle w:val="FunctionTok"/>
        </w:rPr>
        <w:t xml:space="preserve">:</w:t>
      </w:r>
      <w:r>
        <w:rPr>
          <w:rStyle w:val="NormalTok"/>
        </w:rPr>
        <w:t xml:space="preserve"> </w:t>
      </w:r>
      <w:r>
        <w:rPr>
          <w:rStyle w:val="StringTok"/>
        </w:rPr>
        <w:t xml:space="preserve">"Subcutaneous"</w:t>
      </w:r>
      <w:r>
        <w:rPr>
          <w:rStyle w:val="FunctionTok"/>
        </w:rPr>
        <w:t xml:space="preserve">,</w:t>
      </w:r>
      <w:r>
        <w:br/>
      </w:r>
      <w:r>
        <w:rPr>
          <w:rStyle w:val="NormalTok"/>
        </w:rPr>
        <w:t xml:space="preserve">    </w:t>
      </w:r>
      <w:r>
        <w:rPr>
          <w:rStyle w:val="DataTypeTok"/>
        </w:rPr>
        <w:t xml:space="preserve">"dose"</w:t>
      </w:r>
      <w:r>
        <w:rPr>
          <w:rStyle w:val="FunctionTok"/>
        </w:rPr>
        <w:t xml:space="preserve">:</w:t>
      </w:r>
      <w:r>
        <w:rPr>
          <w:rStyle w:val="NormalTok"/>
        </w:rPr>
        <w:t xml:space="preserve"> </w:t>
      </w:r>
      <w:r>
        <w:rPr>
          <w:rStyle w:val="StringTok"/>
        </w:rPr>
        <w:t xml:space="preserve">"10 units"</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StringTok"/>
        </w:rPr>
        <w:t xml:space="preserve">"5mg/mL"</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"sig"</w:t>
      </w:r>
      <w:r>
        <w:rPr>
          <w:rStyle w:val="FunctionTok"/>
        </w:rPr>
        <w:t xml:space="preserve">:</w:t>
      </w:r>
      <w:r>
        <w:rPr>
          <w:rStyle w:val="NormalTok"/>
        </w:rPr>
        <w:t xml:space="preserve"> </w:t>
      </w:r>
      <w:r>
        <w:rPr>
          <w:rStyle w:val="StringTok"/>
        </w:rPr>
        <w:t xml:space="preserve">"Inject 10 units (0.10mL / 0.50mg) subcutaneous once weekly in the morning"</w:t>
      </w:r>
      <w:r>
        <w:rPr>
          <w:rStyle w:val="FunctionTok"/>
        </w:rPr>
        <w:t xml:space="preserve">,</w:t>
      </w:r>
      <w:r>
        <w:br/>
      </w:r>
      <w:r>
        <w:rPr>
          <w:rStyle w:val="NormalTok"/>
        </w:rPr>
        <w:t xml:space="preserve">    </w:t>
      </w:r>
      <w:r>
        <w:rPr>
          <w:rStyle w:val="DataTypeTok"/>
        </w:rPr>
        <w:t xml:space="preserve">"sig_mode"</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"refills"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"dea_schedule"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"patient"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"Alex"</w:t>
      </w:r>
      <w:r>
        <w:rPr>
          <w:rStyle w:val="FunctionTok"/>
        </w:rPr>
        <w:t xml:space="preserve">,</w:t>
      </w:r>
      <w:r>
        <w:br/>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"Demo"</w:t>
      </w:r>
      <w:r>
        <w:rPr>
          <w:rStyle w:val="FunctionTok"/>
        </w:rPr>
        <w:t xml:space="preserve">,</w:t>
      </w:r>
      <w:r>
        <w:br/>
      </w:r>
      <w:r>
        <w:rPr>
          <w:rStyle w:val="NormalTok"/>
        </w:rPr>
        <w:t xml:space="preserve">    </w:t>
      </w:r>
      <w:r>
        <w:rPr>
          <w:rStyle w:val="DataTypeTok"/>
        </w:rPr>
        <w:t xml:space="preserve">"date_of_birth"</w:t>
      </w:r>
      <w:r>
        <w:rPr>
          <w:rStyle w:val="FunctionTok"/>
        </w:rPr>
        <w:t xml:space="preserve">:</w:t>
      </w:r>
      <w:r>
        <w:rPr>
          <w:rStyle w:val="NormalTok"/>
        </w:rPr>
        <w:t xml:space="preserve"> </w:t>
      </w:r>
      <w:r>
        <w:rPr>
          <w:rStyle w:val="StringTok"/>
        </w:rPr>
        <w:t xml:space="preserve">"1985-06-15"</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"+15125551234"</w:t>
      </w:r>
      <w:r>
        <w:rPr>
          <w:rStyle w:val="FunctionTok"/>
        </w:rPr>
        <w:t xml:space="preserve">,</w:t>
      </w:r>
      <w:r>
        <w:br/>
      </w:r>
      <w:r>
        <w:rPr>
          <w:rStyle w:val="NormalTok"/>
        </w:rPr>
        <w:t xml:space="preserve">    </w:t>
      </w:r>
      <w:r>
        <w:rPr>
          <w:rStyle w:val="DataTypeTok"/>
        </w:rPr>
        <w:t xml:space="preserve">"shipping_address"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"street"</w:t>
      </w:r>
      <w:r>
        <w:rPr>
          <w:rStyle w:val="FunctionTok"/>
        </w:rPr>
        <w:t xml:space="preserve">:</w:t>
      </w:r>
      <w:r>
        <w:rPr>
          <w:rStyle w:val="NormalTok"/>
        </w:rPr>
        <w:t xml:space="preserve"> </w:t>
      </w:r>
      <w:r>
        <w:rPr>
          <w:rStyle w:val="StringTok"/>
        </w:rPr>
        <w:t xml:space="preserve">"123 Main St"</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"Austin"</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"TX"</w:t>
      </w:r>
      <w:r>
        <w:rPr>
          <w:rStyle w:val="FunctionTok"/>
        </w:rPr>
        <w:t xml:space="preserve">,</w:t>
      </w:r>
      <w:r>
        <w:br/>
      </w:r>
      <w:r>
        <w:rPr>
          <w:rStyle w:val="NormalTok"/>
        </w:rPr>
        <w:t xml:space="preserve">      </w:t>
      </w:r>
      <w:r>
        <w:rPr>
          <w:rStyle w:val="DataTypeTok"/>
        </w:rPr>
        <w:t xml:space="preserve">"zip"</w:t>
      </w:r>
      <w:r>
        <w:rPr>
          <w:rStyle w:val="FunctionTok"/>
        </w:rPr>
        <w:t xml:space="preserve">:</w:t>
      </w:r>
      <w:r>
        <w:rPr>
          <w:rStyle w:val="NormalTok"/>
        </w:rPr>
        <w:t xml:space="preserve"> </w:t>
      </w:r>
      <w:r>
        <w:rPr>
          <w:rStyle w:val="StringTok"/>
        </w:rPr>
        <w:t xml:space="preserve">"78701"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"Sarah Chen"</w:t>
      </w:r>
      <w:r>
        <w:rPr>
          <w:rStyle w:val="FunctionTok"/>
        </w:rPr>
        <w:t xml:space="preserve">,</w:t>
      </w:r>
      <w:r>
        <w:br/>
      </w:r>
      <w:r>
        <w:rPr>
          <w:rStyle w:val="NormalTok"/>
        </w:rPr>
        <w:t xml:space="preserve">    </w:t>
      </w:r>
      <w:r>
        <w:rPr>
          <w:rStyle w:val="DataTypeTok"/>
        </w:rPr>
        <w:t xml:space="preserve">"npi"</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"dea_number"</w:t>
      </w:r>
      <w:r>
        <w:rPr>
          <w:rStyle w:val="FunctionTok"/>
        </w:rPr>
        <w:t xml:space="preserve">:</w:t>
      </w:r>
      <w:r>
        <w:rPr>
          <w:rStyle w:val="NormalTok"/>
        </w:rPr>
        <w:t xml:space="preserve"> </w:t>
      </w:r>
      <w:r>
        <w:rPr>
          <w:rStyle w:val="StringTok"/>
        </w:rPr>
        <w:t xml:space="preserve">"AC1234567"</w:t>
      </w:r>
      <w:r>
        <w:rPr>
          <w:rStyle w:val="FunctionTok"/>
        </w:rPr>
        <w:t xml:space="preserve">,</w:t>
      </w:r>
      <w:r>
        <w:br/>
      </w:r>
      <w:r>
        <w:rPr>
          <w:rStyle w:val="NormalTok"/>
        </w:rPr>
        <w:t xml:space="preserve">    </w:t>
      </w:r>
      <w:r>
        <w:rPr>
          <w:rStyle w:val="DataTypeTok"/>
        </w:rPr>
        <w:t xml:space="preserve">"clinic_name"</w:t>
      </w:r>
      <w:r>
        <w:rPr>
          <w:rStyle w:val="FunctionTok"/>
        </w:rPr>
        <w:t xml:space="preserve">:</w:t>
      </w:r>
      <w:r>
        <w:rPr>
          <w:rStyle w:val="NormalTok"/>
        </w:rPr>
        <w:t xml:space="preserve"> </w:t>
      </w:r>
      <w:r>
        <w:rPr>
          <w:rStyle w:val="StringTok"/>
        </w:rPr>
        <w:t xml:space="preserve">"Sunrise Functional Medicine"</w:t>
      </w:r>
      <w:r>
        <w:rPr>
          <w:rStyle w:val="FunctionTok"/>
        </w:rPr>
        <w:t xml:space="preserve">,</w:t>
      </w:r>
      <w:r>
        <w:br/>
      </w:r>
      <w:r>
        <w:rPr>
          <w:rStyle w:val="NormalTok"/>
        </w:rPr>
        <w:t xml:space="preserve">    </w:t>
      </w:r>
      <w:r>
        <w:rPr>
          <w:rStyle w:val="DataTypeTok"/>
        </w:rPr>
        <w:t xml:space="preserve">"epcs_verified"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"submitted_at"</w:t>
      </w:r>
      <w:r>
        <w:rPr>
          <w:rStyle w:val="FunctionTok"/>
        </w:rPr>
        <w:t xml:space="preserve">:</w:t>
      </w:r>
      <w:r>
        <w:rPr>
          <w:rStyle w:val="NormalTok"/>
        </w:rPr>
        <w:t xml:space="preserve"> </w:t>
      </w:r>
      <w:r>
        <w:rPr>
          <w:rStyle w:val="StringTok"/>
        </w:rPr>
        <w:t xml:space="preserve">"2026-04-09T14:30:00.000Z"</w:t>
      </w:r>
      <w:r>
        <w:br/>
      </w:r>
      <w:r>
        <w:rPr>
          <w:rStyle w:val="FunctionTok"/>
        </w:rPr>
        <w:t xml:space="preserve">}</w:t>
      </w:r>
    </w:p>
    <w:p>
      <w:pPr>
        <w:pStyle w:val="FirstParagraph"/>
      </w:pPr>
      <w:r>
        <w:rPr>
          <w:b/>
          <w:bCs/>
        </w:rPr>
        <w:t xml:space="preserve">Notes on the payload:</w:t>
      </w:r>
      <w:r>
        <w:t xml:space="preserve"> </w:t>
      </w:r>
      <w:r>
        <w:t xml:space="preserve">-</w:t>
      </w:r>
      <w:r>
        <w:t xml:space="preserve"> </w:t>
      </w:r>
      <w:r>
        <w:rPr>
          <w:rStyle w:val="VerbatimChar"/>
        </w:rPr>
        <w:t xml:space="preserve">sig</w:t>
      </w:r>
      <w:r>
        <w:t xml:space="preserve"> </w:t>
      </w:r>
      <w:r>
        <w:t xml:space="preserve">is a structured, auto-generated string (NCPDP-compliant, max 1,000 characters) that includes dose with unit conversions, route, frequency, timing, and duration</w:t>
      </w:r>
      <w:r>
        <w:t xml:space="preserve"> </w:t>
      </w:r>
      <w:r>
        <w:t xml:space="preserve">-</w:t>
      </w:r>
      <w:r>
        <w:t xml:space="preserve"> </w:t>
      </w:r>
      <w:r>
        <w:rPr>
          <w:rStyle w:val="VerbatimChar"/>
        </w:rPr>
        <w:t xml:space="preserve">sig_mode</w:t>
      </w:r>
      <w:r>
        <w:t xml:space="preserve"> </w:t>
      </w:r>
      <w:r>
        <w:t xml:space="preserve">indicates whether this is a</w:t>
      </w:r>
      <w:r>
        <w:t xml:space="preserve"> </w:t>
      </w:r>
      <w:r>
        <w:rPr>
          <w:rStyle w:val="VerbatimChar"/>
        </w:rPr>
        <w:t xml:space="preserve">standard</w:t>
      </w:r>
      <w:r>
        <w:t xml:space="preserve">,</w:t>
      </w:r>
      <w:r>
        <w:t xml:space="preserve"> </w:t>
      </w:r>
      <w:r>
        <w:rPr>
          <w:rStyle w:val="VerbatimChar"/>
        </w:rPr>
        <w:t xml:space="preserve">titration</w:t>
      </w:r>
      <w:r>
        <w:t xml:space="preserve">, or</w:t>
      </w:r>
      <w:r>
        <w:t xml:space="preserve"> </w:t>
      </w:r>
      <w:r>
        <w:rPr>
          <w:rStyle w:val="VerbatimChar"/>
        </w:rPr>
        <w:t xml:space="preserve">cycling</w:t>
      </w:r>
      <w:r>
        <w:t xml:space="preserve"> </w:t>
      </w:r>
      <w:r>
        <w:t xml:space="preserve">prescription. Titration sigs include dose escalation instructions; cycling sigs include on/off day patterns.</w:t>
      </w:r>
      <w:r>
        <w:t xml:space="preserve"> </w:t>
      </w:r>
      <w:r>
        <w:t xml:space="preserve">-</w:t>
      </w:r>
      <w:r>
        <w:t xml:space="preserve"> </w:t>
      </w:r>
      <w:r>
        <w:rPr>
          <w:rStyle w:val="VerbatimChar"/>
        </w:rPr>
        <w:t xml:space="preserve">dea_schedule</w:t>
      </w:r>
      <w:r>
        <w:t xml:space="preserve"> </w:t>
      </w:r>
      <w:r>
        <w:t xml:space="preserve">is</w:t>
      </w:r>
      <w:r>
        <w:t xml:space="preserve"> </w:t>
      </w:r>
      <w:r>
        <w:rPr>
          <w:rStyle w:val="VerbatimChar"/>
        </w:rPr>
        <w:t xml:space="preserve">null</w:t>
      </w:r>
      <w:r>
        <w:t xml:space="preserve"> </w:t>
      </w:r>
      <w:r>
        <w:t xml:space="preserve">for non-controlled substances, or</w:t>
      </w:r>
      <w:r>
        <w:t xml:space="preserve"> </w:t>
      </w:r>
      <w:r>
        <w:rPr>
          <w:rStyle w:val="VerbatimChar"/>
        </w:rPr>
        <w:t xml:space="preserve">2</w:t>
      </w:r>
      <w:r>
        <w:t xml:space="preserve">–</w:t>
      </w:r>
      <w:r>
        <w:rPr>
          <w:rStyle w:val="VerbatimChar"/>
        </w:rPr>
        <w:t xml:space="preserve">5</w:t>
      </w:r>
      <w:r>
        <w:t xml:space="preserve"> </w:t>
      </w:r>
      <w:r>
        <w:t xml:space="preserve">for DEA-scheduled compounds. Orders with</w:t>
      </w:r>
      <w:r>
        <w:t xml:space="preserve"> </w:t>
      </w:r>
      <w:r>
        <w:rPr>
          <w:rStyle w:val="VerbatimChar"/>
        </w:rPr>
        <w:t xml:space="preserve">dea_schedule &gt;= 2</w:t>
      </w:r>
      <w:r>
        <w:t xml:space="preserve"> </w:t>
      </w:r>
      <w:r>
        <w:t xml:space="preserve">have been verified via EPCS two-factor authentication (TOTP) before submission, per DEA 21 CFR 1311. The</w:t>
      </w:r>
      <w:r>
        <w:t xml:space="preserve"> </w:t>
      </w:r>
      <w:r>
        <w:rPr>
          <w:rStyle w:val="VerbatimChar"/>
        </w:rPr>
        <w:t xml:space="preserve">epcs_verified</w:t>
      </w:r>
      <w:r>
        <w:t xml:space="preserve"> </w:t>
      </w:r>
      <w:r>
        <w:t xml:space="preserve">flag on the provider confirms 2FA was completed.</w:t>
      </w:r>
    </w:p>
    <w:p>
      <w:pPr>
        <w:pStyle w:val="SourceCode"/>
      </w:pPr>
      <w:r>
        <w:br/>
      </w:r>
      <w:r>
        <w:rPr>
          <w:rStyle w:val="VerbatimChar"/>
        </w:rPr>
        <w:t xml:space="preserve">### Webhook Events — Status Updates From Your Pharmacy</w:t>
      </w:r>
      <w:r>
        <w:br/>
      </w:r>
      <w:r>
        <w:br/>
      </w:r>
      <w:r>
        <w:rPr>
          <w:rStyle w:val="VerbatimChar"/>
        </w:rPr>
        <w:t xml:space="preserve">Send status updates to our webhook endpoint as your pharmacy processes the order. Each webhook must include an HMAC-SHA256 signature for verification.</w:t>
      </w:r>
      <w:r>
        <w:br/>
      </w:r>
      <w:r>
        <w:br/>
      </w:r>
      <w:r>
        <w:rPr>
          <w:rStyle w:val="VerbatimChar"/>
        </w:rPr>
        <w:t xml:space="preserve">**Webhook endpoint:** `POST https://app.compoundiq.com/api/webhooks/pharmacy/{your-slug}`</w:t>
      </w:r>
      <w:r>
        <w:br/>
      </w:r>
      <w:r>
        <w:br/>
      </w:r>
      <w:r>
        <w:rPr>
          <w:rStyle w:val="VerbatimChar"/>
        </w:rPr>
        <w:t xml:space="preserve">**Required headers:**</w:t>
      </w:r>
    </w:p>
    <w:p>
      <w:pPr>
        <w:pStyle w:val="FirstParagraph"/>
      </w:pPr>
      <w:r>
        <w:t xml:space="preserve">Content-Type: application/json</w:t>
      </w:r>
      <w:r>
        <w:t xml:space="preserve"> </w:t>
      </w:r>
      <w:r>
        <w:t xml:space="preserve">X-Pharmacy-Signature: sha256=</w:t>
      </w:r>
      <w:r>
        <w:t xml:space="preserve"> </w:t>
      </w:r>
      <w:r>
        <w:t xml:space="preserve">X-Pharmacy-Event-Id:</w:t>
      </w:r>
      <w:r>
        <w:t xml:space="preserve"> </w:t>
      </w:r>
    </w:p>
    <w:p>
      <w:pPr>
        <w:pStyle w:val="SourceCode"/>
      </w:pPr>
      <w:r>
        <w:br/>
      </w:r>
      <w:r>
        <w:rPr>
          <w:rStyle w:val="VerbatimChar"/>
        </w:rPr>
        <w:t xml:space="preserve">**Supported event types:**</w:t>
      </w:r>
      <w:r>
        <w:br/>
      </w:r>
      <w:r>
        <w:br/>
      </w:r>
      <w:r>
        <w:rPr>
          <w:rStyle w:val="VerbatimChar"/>
        </w:rPr>
        <w:t xml:space="preserve">| Event Type | When to Send | Required Fields |</w:t>
      </w:r>
      <w:r>
        <w:br/>
      </w:r>
      <w:r>
        <w:rPr>
          <w:rStyle w:val="VerbatimChar"/>
        </w:rPr>
        <w:t xml:space="preserve">|-----------|-------------|----------------|</w:t>
      </w:r>
      <w:r>
        <w:br/>
      </w:r>
      <w:r>
        <w:rPr>
          <w:rStyle w:val="VerbatimChar"/>
        </w:rPr>
        <w:t xml:space="preserve">| `order.acknowledged` | You received and accepted the order | order_id, acknowledged_at |</w:t>
      </w:r>
      <w:r>
        <w:br/>
      </w:r>
      <w:r>
        <w:rPr>
          <w:rStyle w:val="VerbatimChar"/>
        </w:rPr>
        <w:t xml:space="preserve">| `order.compounding` | You started compounding | order_id, estimated_completion |</w:t>
      </w:r>
      <w:r>
        <w:br/>
      </w:r>
      <w:r>
        <w:rPr>
          <w:rStyle w:val="VerbatimChar"/>
        </w:rPr>
        <w:t xml:space="preserve">| `order.rejected` | You cannot fill this order | order_id, reason |</w:t>
      </w:r>
      <w:r>
        <w:br/>
      </w:r>
      <w:r>
        <w:rPr>
          <w:rStyle w:val="VerbatimChar"/>
        </w:rPr>
        <w:t xml:space="preserve">| `order.shipped` | You shipped the order | order_id, tracking_number, carrier |</w:t>
      </w:r>
      <w:r>
        <w:br/>
      </w:r>
      <w:r>
        <w:rPr>
          <w:rStyle w:val="VerbatimChar"/>
        </w:rPr>
        <w:t xml:space="preserve">| `order.delivered` | Order was delivered | order_id, delivered_at |</w:t>
      </w:r>
      <w:r>
        <w:br/>
      </w:r>
      <w:r>
        <w:br/>
      </w:r>
      <w:r>
        <w:rPr>
          <w:rStyle w:val="VerbatimChar"/>
        </w:rPr>
        <w:t xml:space="preserve">**Example webhook payload:**</w:t>
      </w:r>
      <w:r>
        <w:br/>
      </w:r>
      <w:r>
        <w:rPr>
          <w:rStyle w:val="VerbatimChar"/>
        </w:rPr>
        <w:t xml:space="preserve">```json</w:t>
      </w:r>
      <w:r>
        <w:br/>
      </w:r>
      <w:r>
        <w:rPr>
          <w:rStyle w:val="VerbatimChar"/>
        </w:rPr>
        <w:t xml:space="preserve">{</w:t>
      </w:r>
      <w:r>
        <w:br/>
      </w:r>
      <w:r>
        <w:rPr>
          <w:rStyle w:val="VerbatimChar"/>
        </w:rPr>
        <w:t xml:space="preserve">  "event_type": "order.acknowledged",</w:t>
      </w:r>
      <w:r>
        <w:br/>
      </w:r>
      <w:r>
        <w:rPr>
          <w:rStyle w:val="VerbatimChar"/>
        </w:rPr>
        <w:t xml:space="preserve">  "event_id": "evt_abc123",</w:t>
      </w:r>
      <w:r>
        <w:br/>
      </w:r>
      <w:r>
        <w:rPr>
          <w:rStyle w:val="VerbatimChar"/>
        </w:rPr>
        <w:t xml:space="preserve">  "order_id": "uuid-from-submission",</w:t>
      </w:r>
      <w:r>
        <w:br/>
      </w:r>
      <w:r>
        <w:rPr>
          <w:rStyle w:val="VerbatimChar"/>
        </w:rPr>
        <w:t xml:space="preserve">  "data": {</w:t>
      </w:r>
      <w:r>
        <w:br/>
      </w:r>
      <w:r>
        <w:rPr>
          <w:rStyle w:val="VerbatimChar"/>
        </w:rPr>
        <w:t xml:space="preserve">    "acknowledged_at": "2026-04-05T14:35:00.000Z",</w:t>
      </w:r>
      <w:r>
        <w:br/>
      </w:r>
      <w:r>
        <w:rPr>
          <w:rStyle w:val="VerbatimChar"/>
        </w:rPr>
        <w:t xml:space="preserve">    "estimated_completion": "2026-04-08T17:00:00.000Z"</w:t>
      </w:r>
      <w:r>
        <w:br/>
      </w:r>
      <w:r>
        <w:rPr>
          <w:rStyle w:val="VerbatimChar"/>
        </w:rPr>
        <w:t xml:space="preserve">  }</w:t>
      </w:r>
      <w:r>
        <w:br/>
      </w:r>
      <w:r>
        <w:rPr>
          <w:rStyle w:val="VerbatimChar"/>
        </w:rPr>
        <w:t xml:space="preserve">}</w:t>
      </w:r>
    </w:p>
    <w:bookmarkEnd w:id="13"/>
    <w:bookmarkStart w:id="14" w:name="signature-verification"/>
    <w:p>
      <w:pPr>
        <w:pStyle w:val="Heading3"/>
      </w:pPr>
      <w:r>
        <w:t xml:space="preserve">Signature Verification</w:t>
      </w:r>
    </w:p>
    <w:p>
      <w:pPr>
        <w:pStyle w:val="FirstParagraph"/>
      </w:pPr>
      <w:r>
        <w:t xml:space="preserve">We verify every incoming webhook using HMAC-SHA256:</w:t>
      </w:r>
    </w:p>
    <w:p>
      <w:pPr>
        <w:pStyle w:val="Compact"/>
        <w:numPr>
          <w:ilvl w:val="0"/>
          <w:numId w:val="1003"/>
        </w:numPr>
      </w:pPr>
      <w:r>
        <w:t xml:space="preserve">We compute</w:t>
      </w:r>
      <w:r>
        <w:t xml:space="preserve"> </w:t>
      </w:r>
      <w:r>
        <w:rPr>
          <w:rStyle w:val="VerbatimChar"/>
        </w:rPr>
        <w:t xml:space="preserve">HMAC-SHA256(request_body, shared_secret)</w:t>
      </w:r>
    </w:p>
    <w:p>
      <w:pPr>
        <w:pStyle w:val="Compact"/>
        <w:numPr>
          <w:ilvl w:val="0"/>
          <w:numId w:val="1003"/>
        </w:numPr>
      </w:pPr>
      <w:r>
        <w:t xml:space="preserve">We compare the result to the</w:t>
      </w:r>
      <w:r>
        <w:t xml:space="preserve"> </w:t>
      </w:r>
      <w:r>
        <w:rPr>
          <w:rStyle w:val="VerbatimChar"/>
        </w:rPr>
        <w:t xml:space="preserve">X-Pharmacy-Signature</w:t>
      </w:r>
      <w:r>
        <w:t xml:space="preserve"> </w:t>
      </w:r>
      <w:r>
        <w:t xml:space="preserve">header value</w:t>
      </w:r>
    </w:p>
    <w:p>
      <w:pPr>
        <w:pStyle w:val="Compact"/>
        <w:numPr>
          <w:ilvl w:val="0"/>
          <w:numId w:val="1003"/>
        </w:numPr>
      </w:pPr>
      <w:r>
        <w:t xml:space="preserve">If they don’t match, the webhook is rejected with HTTP 401</w:t>
      </w:r>
    </w:p>
    <w:p>
      <w:pPr>
        <w:pStyle w:val="FirstParagraph"/>
      </w:pPr>
      <w:r>
        <w:rPr>
          <w:b/>
          <w:bCs/>
        </w:rPr>
        <w:t xml:space="preserve">Important:</w:t>
      </w:r>
      <w:r>
        <w:t xml:space="preserve"> </w:t>
      </w:r>
      <w:r>
        <w:t xml:space="preserve">Use timing-safe comparison to prevent timing attacks.</w:t>
      </w:r>
    </w:p>
    <w:bookmarkEnd w:id="14"/>
    <w:bookmarkStart w:id="15" w:name="circuit-breaker-behavior"/>
    <w:p>
      <w:pPr>
        <w:pStyle w:val="Heading3"/>
      </w:pPr>
      <w:r>
        <w:t xml:space="preserve">Circuit Breaker Behavior</w:t>
      </w:r>
    </w:p>
    <w:p>
      <w:pPr>
        <w:pStyle w:val="FirstParagraph"/>
      </w:pPr>
      <w:r>
        <w:t xml:space="preserve">If your API returns errors on 3 consecutive submissions, our circuit breaker opens and we temporarily stop sending orders to your pharmacy. Here’s what happens:</w:t>
      </w:r>
    </w:p>
    <w:p>
      <w:pPr>
        <w:pStyle w:val="Compact"/>
        <w:numPr>
          <w:ilvl w:val="0"/>
          <w:numId w:val="1004"/>
        </w:numPr>
      </w:pPr>
      <w:r>
        <w:rPr>
          <w:b/>
          <w:bCs/>
        </w:rPr>
        <w:t xml:space="preserve">3 consecutive failures</w:t>
      </w:r>
      <w:r>
        <w:t xml:space="preserve"> </w:t>
      </w:r>
      <w:r>
        <w:t xml:space="preserve">— Circuit opens. New orders cascade to fax (Tier 4).</w:t>
      </w:r>
    </w:p>
    <w:p>
      <w:pPr>
        <w:pStyle w:val="Compact"/>
        <w:numPr>
          <w:ilvl w:val="0"/>
          <w:numId w:val="1004"/>
        </w:numPr>
      </w:pPr>
      <w:r>
        <w:rPr>
          <w:b/>
          <w:bCs/>
        </w:rPr>
        <w:t xml:space="preserve">5-minute cooldown</w:t>
      </w:r>
      <w:r>
        <w:t xml:space="preserve"> </w:t>
      </w:r>
      <w:r>
        <w:t xml:space="preserve">— After 5 minutes, we send 1 test order to check recovery.</w:t>
      </w:r>
    </w:p>
    <w:p>
      <w:pPr>
        <w:pStyle w:val="Compact"/>
        <w:numPr>
          <w:ilvl w:val="0"/>
          <w:numId w:val="1004"/>
        </w:numPr>
      </w:pPr>
      <w:r>
        <w:rPr>
          <w:b/>
          <w:bCs/>
        </w:rPr>
        <w:t xml:space="preserve">2 consecutive successes</w:t>
      </w:r>
      <w:r>
        <w:t xml:space="preserve"> </w:t>
      </w:r>
      <w:r>
        <w:t xml:space="preserve">— Circuit closes. Normal order flow resumes.</w:t>
      </w:r>
    </w:p>
    <w:p>
      <w:pPr>
        <w:pStyle w:val="FirstParagraph"/>
      </w:pPr>
      <w:r>
        <w:t xml:space="preserve">Our ops team is notified immediately when a circuit breaker trips. We will contact your team to coordinate resolution.</w:t>
      </w:r>
    </w:p>
    <w:p>
      <w:r>
        <w:pict>
          <v:rect style="width:0;height:1.5pt" o:hralign="center" o:hrstd="t" o:hr="t"/>
        </w:pict>
      </w:r>
    </w:p>
    <w:bookmarkEnd w:id="15"/>
    <w:bookmarkEnd w:id="16"/>
    <w:bookmarkStart w:id="21" w:name="X296c97c7dbb3c79440d677a09b73bdf568030b6"/>
    <w:p>
      <w:pPr>
        <w:pStyle w:val="Heading2"/>
      </w:pPr>
      <w:r>
        <w:t xml:space="preserve">Tier 3 — Implementing Our Standardized Specification</w:t>
      </w:r>
    </w:p>
    <w:p>
      <w:pPr>
        <w:pStyle w:val="FirstParagraph"/>
      </w:pPr>
      <w:r>
        <w:t xml:space="preserve">If your pharmacy doesn’t have an existing API but wants to build one, implement our standardized specification. This gives you the same real-time integration benefits as Tier 1.</w:t>
      </w:r>
    </w:p>
    <w:bookmarkStart w:id="17" w:name="endpoints-you-need-to-implement"/>
    <w:p>
      <w:pPr>
        <w:pStyle w:val="Heading3"/>
      </w:pPr>
      <w:r>
        <w:t xml:space="preserve">Endpoints You Need to Implement</w:t>
      </w:r>
    </w:p>
    <w:tbl>
      <w:tblPr>
        <w:tblStyle w:val="Table"/>
        <w:tblW w:type="pct" w:w="5000"/>
        <w:tblLayout w:type="fixed"/>
        <w:tblLook w:firstRow="1" w:lastRow="0" w:firstColumn="0" w:lastColumn="0" w:noHBand="0" w:noVBand="0" w:val="0020"/>
      </w:tblPr>
      <w:tblGrid>
        <w:gridCol w:w="2346"/>
        <w:gridCol w:w="2933"/>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POST /orders</w:t>
            </w:r>
          </w:p>
        </w:tc>
        <w:tc>
          <w:tcPr/>
          <w:p>
            <w:pPr>
              <w:pStyle w:val="Compact"/>
            </w:pPr>
            <w:r>
              <w:t xml:space="preserve">Receive a new prescription order</w:t>
            </w:r>
          </w:p>
        </w:tc>
        <w:tc>
          <w:tcPr/>
          <w:p>
            <w:pPr>
              <w:pStyle w:val="Compact"/>
            </w:pPr>
            <w:r>
              <w:t xml:space="preserve">Accept the order payload (same format as Tier 1 above)</w:t>
            </w:r>
          </w:p>
        </w:tc>
      </w:tr>
      <w:tr>
        <w:tc>
          <w:tcPr/>
          <w:p>
            <w:pPr>
              <w:pStyle w:val="Compact"/>
            </w:pPr>
            <w:r>
              <w:rPr>
                <w:rStyle w:val="VerbatimChar"/>
              </w:rPr>
              <w:t xml:space="preserve">GET /orders/{order_id}</w:t>
            </w:r>
          </w:p>
        </w:tc>
        <w:tc>
          <w:tcPr/>
          <w:p>
            <w:pPr>
              <w:pStyle w:val="Compact"/>
            </w:pPr>
            <w:r>
              <w:t xml:space="preserve">Return current order status</w:t>
            </w:r>
          </w:p>
        </w:tc>
        <w:tc>
          <w:tcPr/>
          <w:p>
            <w:pPr>
              <w:pStyle w:val="Compact"/>
            </w:pPr>
            <w:r>
              <w:t xml:space="preserve">We poll this if webhooks are not configured</w:t>
            </w:r>
          </w:p>
        </w:tc>
      </w:tr>
      <w:tr>
        <w:tc>
          <w:tcPr/>
          <w:p>
            <w:pPr>
              <w:pStyle w:val="Compact"/>
            </w:pPr>
            <w:r>
              <w:rPr>
                <w:rStyle w:val="VerbatimChar"/>
              </w:rPr>
              <w:t xml:space="preserve">POST /orders/{order_id}/cancel</w:t>
            </w:r>
          </w:p>
        </w:tc>
        <w:tc>
          <w:tcPr/>
          <w:p>
            <w:pPr>
              <w:pStyle w:val="Compact"/>
            </w:pPr>
            <w:r>
              <w:t xml:space="preserve">Cancel a pending order</w:t>
            </w:r>
          </w:p>
        </w:tc>
        <w:tc>
          <w:tcPr/>
          <w:p>
            <w:pPr>
              <w:pStyle w:val="Compact"/>
            </w:pPr>
            <w:r>
              <w:t xml:space="preserve">We send this if the clinic cancels before fulfillment</w:t>
            </w:r>
          </w:p>
        </w:tc>
      </w:tr>
      <w:tr>
        <w:tc>
          <w:tcPr/>
          <w:p>
            <w:pPr>
              <w:pStyle w:val="Compact"/>
            </w:pPr>
            <w:r>
              <w:rPr>
                <w:rStyle w:val="VerbatimChar"/>
              </w:rPr>
              <w:t xml:space="preserve">GET /health</w:t>
            </w:r>
          </w:p>
        </w:tc>
        <w:tc>
          <w:tcPr/>
          <w:p>
            <w:pPr>
              <w:pStyle w:val="Compact"/>
            </w:pPr>
            <w:r>
              <w:t xml:space="preserve">Health check</w:t>
            </w:r>
          </w:p>
        </w:tc>
        <w:tc>
          <w:tcPr/>
          <w:p>
            <w:pPr>
              <w:pStyle w:val="Compact"/>
            </w:pPr>
            <w:r>
              <w:t xml:space="preserve">We ping this every 10 minutes to monitor your API status</w:t>
            </w:r>
          </w:p>
        </w:tc>
      </w:tr>
    </w:tbl>
    <w:bookmarkEnd w:id="17"/>
    <w:bookmarkStart w:id="18" w:name="response-format"/>
    <w:p>
      <w:pPr>
        <w:pStyle w:val="Heading3"/>
      </w:pPr>
      <w:r>
        <w:t xml:space="preserve">Response Format</w:t>
      </w:r>
    </w:p>
    <w:p>
      <w:pPr>
        <w:pStyle w:val="FirstParagraph"/>
      </w:pPr>
      <w:r>
        <w:t xml:space="preserve">All responses should use this envelope: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On error:</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"INVALID_STATE"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has already been shipped"</w:t>
      </w:r>
      <w:r>
        <w:br/>
      </w:r>
      <w:r>
        <w:rPr>
          <w:rStyle w:val="NormalTok"/>
        </w:rPr>
        <w:t xml:space="preserve">  </w:t>
      </w:r>
      <w:r>
        <w:rPr>
          <w:rStyle w:val="FunctionTok"/>
        </w:rPr>
        <w:t xml:space="preserve">}</w:t>
      </w:r>
      <w:r>
        <w:br/>
      </w:r>
      <w:r>
        <w:rPr>
          <w:rStyle w:val="FunctionTok"/>
        </w:rPr>
        <w:t xml:space="preserve">}</w:t>
      </w:r>
    </w:p>
    <w:bookmarkEnd w:id="18"/>
    <w:bookmarkStart w:id="19" w:name="authentication"/>
    <w:p>
      <w:pPr>
        <w:pStyle w:val="Heading3"/>
      </w:pPr>
      <w:r>
        <w:t xml:space="preserve">Authentication</w:t>
      </w:r>
    </w:p>
    <w:p>
      <w:pPr>
        <w:pStyle w:val="FirstParagraph"/>
      </w:pPr>
      <w:r>
        <w:t xml:space="preserve">Your API should accept a Bearer token in the Authorization header:</w:t>
      </w:r>
    </w:p>
    <w:p>
      <w:pPr>
        <w:pStyle w:val="SourceCode"/>
      </w:pPr>
      <w:r>
        <w:rPr>
          <w:rStyle w:val="VerbatimChar"/>
        </w:rPr>
        <w:t xml:space="preserve">Authorization: Bearer &lt;token-we-provide&gt;</w:t>
      </w:r>
    </w:p>
    <w:p>
      <w:pPr>
        <w:pStyle w:val="FirstParagraph"/>
      </w:pPr>
      <w:r>
        <w:t xml:space="preserve">We store your API credentials in an encrypted vault (AES-256-GCM). They are never logged, never stored in plain text, and never included in error messages.</w:t>
      </w:r>
    </w:p>
    <w:bookmarkEnd w:id="19"/>
    <w:bookmarkStart w:id="20" w:name="webhooks-recommended"/>
    <w:p>
      <w:pPr>
        <w:pStyle w:val="Heading3"/>
      </w:pPr>
      <w:r>
        <w:t xml:space="preserve">Webhooks (Recommended)</w:t>
      </w:r>
    </w:p>
    <w:p>
      <w:pPr>
        <w:pStyle w:val="FirstParagraph"/>
      </w:pPr>
      <w:r>
        <w:t xml:space="preserve">While we can poll your</w:t>
      </w:r>
      <w:r>
        <w:t xml:space="preserve"> </w:t>
      </w:r>
      <w:r>
        <w:rPr>
          <w:rStyle w:val="VerbatimChar"/>
        </w:rPr>
        <w:t xml:space="preserve">/orders/{id}</w:t>
      </w:r>
      <w:r>
        <w:t xml:space="preserve"> </w:t>
      </w:r>
      <w:r>
        <w:t xml:space="preserve">endpoint for status updates, webhooks are strongly recommended for real-time updates. The webhook format is the same as Tier 1 (see above).</w:t>
      </w:r>
    </w:p>
    <w:p>
      <w:r>
        <w:pict>
          <v:rect style="width:0;height:1.5pt" o:hralign="center" o:hrstd="t" o:hr="t"/>
        </w:pict>
      </w:r>
    </w:p>
    <w:bookmarkEnd w:id="20"/>
    <w:bookmarkEnd w:id="21"/>
    <w:bookmarkStart w:id="25" w:name="testing-your-integration"/>
    <w:p>
      <w:pPr>
        <w:pStyle w:val="Heading2"/>
      </w:pPr>
      <w:r>
        <w:t xml:space="preserve">Testing Your Integration</w:t>
      </w:r>
    </w:p>
    <w:bookmarkStart w:id="22" w:name="sandbox-environment"/>
    <w:p>
      <w:pPr>
        <w:pStyle w:val="Heading3"/>
      </w:pPr>
      <w:r>
        <w:t xml:space="preserve">Sandbox Environment</w:t>
      </w:r>
    </w:p>
    <w:p>
      <w:pPr>
        <w:pStyle w:val="FirstParagraph"/>
      </w:pPr>
      <w:r>
        <w:t xml:space="preserve">We provide a staging environment for integration testing:</w:t>
      </w:r>
      <w:r>
        <w:t xml:space="preserve"> </w:t>
      </w:r>
      <w:r>
        <w:t xml:space="preserve">-</w:t>
      </w:r>
      <w:r>
        <w:t xml:space="preserve"> </w:t>
      </w:r>
      <w:r>
        <w:rPr>
          <w:b/>
          <w:bCs/>
        </w:rPr>
        <w:t xml:space="preserve">Staging URL:</w:t>
      </w:r>
      <w:r>
        <w:t xml:space="preserve"> </w:t>
      </w:r>
      <w:r>
        <w:rPr>
          <w:rStyle w:val="VerbatimChar"/>
        </w:rPr>
        <w:t xml:space="preserve">https://staging.compoundiq.com</w:t>
      </w:r>
      <w:r>
        <w:t xml:space="preserve"> </w:t>
      </w:r>
      <w:r>
        <w:t xml:space="preserve">-</w:t>
      </w:r>
      <w:r>
        <w:t xml:space="preserve"> </w:t>
      </w:r>
      <w:r>
        <w:rPr>
          <w:b/>
          <w:bCs/>
        </w:rPr>
        <w:t xml:space="preserve">Test webhook endpoint:</w:t>
      </w:r>
      <w:r>
        <w:t xml:space="preserve"> </w:t>
      </w:r>
      <w:r>
        <w:rPr>
          <w:rStyle w:val="VerbatimChar"/>
        </w:rPr>
        <w:t xml:space="preserve">https://staging.compoundiq.com/api/webhooks/pharmacy/{your-slug}</w:t>
      </w:r>
      <w:r>
        <w:t xml:space="preserve"> </w:t>
      </w:r>
      <w:r>
        <w:t xml:space="preserve">-</w:t>
      </w:r>
      <w:r>
        <w:t xml:space="preserve"> </w:t>
      </w:r>
      <w:r>
        <w:rPr>
          <w:b/>
          <w:bCs/>
        </w:rPr>
        <w:t xml:space="preserve">Test orders</w:t>
      </w:r>
      <w:r>
        <w:t xml:space="preserve"> </w:t>
      </w:r>
      <w:r>
        <w:t xml:space="preserve">use synthetic patient data — no real PHI</w:t>
      </w:r>
    </w:p>
    <w:bookmarkEnd w:id="22"/>
    <w:bookmarkStart w:id="23" w:name="validation-checklist"/>
    <w:p>
      <w:pPr>
        <w:pStyle w:val="Heading3"/>
      </w:pPr>
      <w:r>
        <w:t xml:space="preserve">Validation Checklist</w:t>
      </w:r>
    </w:p>
    <w:p>
      <w:pPr>
        <w:pStyle w:val="FirstParagraph"/>
      </w:pPr>
      <w:r>
        <w:t xml:space="preserve">Before going live, both teams should verify:</w:t>
      </w:r>
    </w:p>
    <w:p>
      <w:pPr>
        <w:pStyle w:val="Compact"/>
        <w:numPr>
          <w:ilvl w:val="0"/>
          <w:numId w:val="1005"/>
        </w:numPr>
      </w:pPr>
      <w:r>
        <w:t xml:space="preserve">Order submission succeeds (HTTP 200/201 response)</w:t>
      </w:r>
    </w:p>
    <w:p>
      <w:pPr>
        <w:pStyle w:val="Compact"/>
        <w:numPr>
          <w:ilvl w:val="0"/>
          <w:numId w:val="1006"/>
        </w:numPr>
      </w:pPr>
      <w:r>
        <w:t xml:space="preserve">Order acknowledgment webhook fires and is received by CompoundIQ</w:t>
      </w:r>
    </w:p>
    <w:p>
      <w:pPr>
        <w:pStyle w:val="Compact"/>
        <w:numPr>
          <w:ilvl w:val="0"/>
          <w:numId w:val="1007"/>
        </w:numPr>
      </w:pPr>
      <w:r>
        <w:t xml:space="preserve">Order rejection webhook fires with a reason code</w:t>
      </w:r>
    </w:p>
    <w:p>
      <w:pPr>
        <w:pStyle w:val="Compact"/>
        <w:numPr>
          <w:ilvl w:val="0"/>
          <w:numId w:val="1008"/>
        </w:numPr>
      </w:pPr>
      <w:r>
        <w:t xml:space="preserve">Shipping webhook fires with tracking number</w:t>
      </w:r>
    </w:p>
    <w:p>
      <w:pPr>
        <w:pStyle w:val="Compact"/>
        <w:numPr>
          <w:ilvl w:val="0"/>
          <w:numId w:val="1009"/>
        </w:numPr>
      </w:pPr>
      <w:r>
        <w:t xml:space="preserve">Webhook signature verification passes</w:t>
      </w:r>
    </w:p>
    <w:p>
      <w:pPr>
        <w:pStyle w:val="Compact"/>
        <w:numPr>
          <w:ilvl w:val="0"/>
          <w:numId w:val="1010"/>
        </w:numPr>
      </w:pPr>
      <w:r>
        <w:t xml:space="preserve">Circuit breaker trips and recovers correctly (simulate 3 failures, then recovery)</w:t>
      </w:r>
    </w:p>
    <w:p>
      <w:pPr>
        <w:pStyle w:val="Compact"/>
        <w:numPr>
          <w:ilvl w:val="0"/>
          <w:numId w:val="1011"/>
        </w:numPr>
      </w:pPr>
      <w:r>
        <w:t xml:space="preserve">Duplicate webhook delivery is handled (same event_id sent twice — only processed once)</w:t>
      </w:r>
    </w:p>
    <w:p>
      <w:pPr>
        <w:pStyle w:val="Compact"/>
        <w:numPr>
          <w:ilvl w:val="0"/>
          <w:numId w:val="1012"/>
        </w:numPr>
      </w:pPr>
      <w:r>
        <w:t xml:space="preserve">Error responses include meaningful codes and messages</w:t>
      </w:r>
    </w:p>
    <w:bookmarkEnd w:id="23"/>
    <w:bookmarkStart w:id="24" w:name="go-live-checklist"/>
    <w:p>
      <w:pPr>
        <w:pStyle w:val="Heading3"/>
      </w:pPr>
      <w:r>
        <w:t xml:space="preserve">Go-Live Checklist</w:t>
      </w:r>
    </w:p>
    <w:p>
      <w:pPr>
        <w:pStyle w:val="Compact"/>
        <w:numPr>
          <w:ilvl w:val="0"/>
          <w:numId w:val="1013"/>
        </w:numPr>
      </w:pPr>
      <w:r>
        <w:t xml:space="preserve">Production API credentials stored in CompoundIQ Vault</w:t>
      </w:r>
    </w:p>
    <w:p>
      <w:pPr>
        <w:pStyle w:val="Compact"/>
        <w:numPr>
          <w:ilvl w:val="0"/>
          <w:numId w:val="1014"/>
        </w:numPr>
      </w:pPr>
      <w:r>
        <w:t xml:space="preserve">Production webhook signing secret exchanged securely</w:t>
      </w:r>
    </w:p>
    <w:p>
      <w:pPr>
        <w:pStyle w:val="Compact"/>
        <w:numPr>
          <w:ilvl w:val="0"/>
          <w:numId w:val="1015"/>
        </w:numPr>
      </w:pPr>
      <w:r>
        <w:t xml:space="preserve">IP allowlisting configured (optional but recommended)</w:t>
      </w:r>
    </w:p>
    <w:p>
      <w:pPr>
        <w:pStyle w:val="Compact"/>
        <w:numPr>
          <w:ilvl w:val="0"/>
          <w:numId w:val="1016"/>
        </w:numPr>
      </w:pPr>
      <w:r>
        <w:t xml:space="preserve">Rate limits agreed upon (default: 60 requests/minute)</w:t>
      </w:r>
    </w:p>
    <w:p>
      <w:pPr>
        <w:pStyle w:val="Compact"/>
        <w:numPr>
          <w:ilvl w:val="0"/>
          <w:numId w:val="1017"/>
        </w:numPr>
      </w:pPr>
      <w:r>
        <w:t xml:space="preserve">Escalation contacts exchanged (technical + operations)</w:t>
      </w:r>
    </w:p>
    <w:p>
      <w:pPr>
        <w:pStyle w:val="Compact"/>
        <w:numPr>
          <w:ilvl w:val="0"/>
          <w:numId w:val="1018"/>
        </w:numPr>
      </w:pPr>
      <w:r>
        <w:t xml:space="preserve">Monitoring configured on both sides</w:t>
      </w:r>
    </w:p>
    <w:p>
      <w:r>
        <w:pict>
          <v:rect style="width:0;height:1.5pt" o:hralign="center" o:hrstd="t" o:hr="t"/>
        </w:pict>
      </w:r>
    </w:p>
    <w:bookmarkEnd w:id="24"/>
    <w:bookmarkEnd w:id="25"/>
    <w:bookmarkStart w:id="29" w:name="data-privacy-compliance"/>
    <w:p>
      <w:pPr>
        <w:pStyle w:val="Heading2"/>
      </w:pPr>
      <w:r>
        <w:t xml:space="preserve">Data Privacy &amp; Compliance</w:t>
      </w:r>
    </w:p>
    <w:bookmarkStart w:id="26" w:name="what-data-we-send"/>
    <w:p>
      <w:pPr>
        <w:pStyle w:val="Heading3"/>
      </w:pPr>
      <w:r>
        <w:t xml:space="preserve">What Data We Send</w:t>
      </w:r>
    </w:p>
    <w:p>
      <w:pPr>
        <w:pStyle w:val="FirstParagraph"/>
      </w:pPr>
      <w:r>
        <w:t xml:space="preserve">Order payloads contain patient PHI (name, DOB, address, prescription details). This data is necessary for you to fill the prescription. By integrating, your pharmacy agrees to handle this data in accordance with HIPAA requirements.</w:t>
      </w:r>
    </w:p>
    <w:bookmarkEnd w:id="26"/>
    <w:bookmarkStart w:id="27" w:name="what-we-expect"/>
    <w:p>
      <w:pPr>
        <w:pStyle w:val="Heading3"/>
      </w:pPr>
      <w:r>
        <w:t xml:space="preserve">What We Expect</w:t>
      </w:r>
    </w:p>
    <w:p>
      <w:pPr>
        <w:pStyle w:val="Compact"/>
        <w:numPr>
          <w:ilvl w:val="0"/>
          <w:numId w:val="1019"/>
        </w:numPr>
      </w:pPr>
      <w:r>
        <w:t xml:space="preserve">All API endpoints must use HTTPS (TLS 1.2+)</w:t>
      </w:r>
    </w:p>
    <w:p>
      <w:pPr>
        <w:pStyle w:val="Compact"/>
        <w:numPr>
          <w:ilvl w:val="0"/>
          <w:numId w:val="1019"/>
        </w:numPr>
      </w:pPr>
      <w:r>
        <w:t xml:space="preserve">Patient data must not be logged in plain text on your end</w:t>
      </w:r>
    </w:p>
    <w:p>
      <w:pPr>
        <w:pStyle w:val="Compact"/>
        <w:numPr>
          <w:ilvl w:val="0"/>
          <w:numId w:val="1019"/>
        </w:numPr>
      </w:pPr>
      <w:r>
        <w:t xml:space="preserve">Webhook payloads should contain the minimum PHI necessary for the event</w:t>
      </w:r>
    </w:p>
    <w:p>
      <w:pPr>
        <w:pStyle w:val="Compact"/>
        <w:numPr>
          <w:ilvl w:val="0"/>
          <w:numId w:val="1019"/>
        </w:numPr>
      </w:pPr>
      <w:r>
        <w:t xml:space="preserve">Credentials must be rotated at minimum every 180 days</w:t>
      </w:r>
    </w:p>
    <w:bookmarkEnd w:id="27"/>
    <w:bookmarkStart w:id="28" w:name="business-associate-agreement"/>
    <w:p>
      <w:pPr>
        <w:pStyle w:val="Heading3"/>
      </w:pPr>
      <w:r>
        <w:t xml:space="preserve">Business Associate Agreement</w:t>
      </w:r>
    </w:p>
    <w:p>
      <w:pPr>
        <w:pStyle w:val="FirstParagraph"/>
      </w:pPr>
      <w:r>
        <w:t xml:space="preserve">A Business Associate Agreement (BAA) is required before production data flows between our systems. Our legal team will coordinate this as part of the onboarding process.</w:t>
      </w:r>
    </w:p>
    <w:p>
      <w:r>
        <w:pict>
          <v:rect style="width:0;height:1.5pt" o:hralign="center" o:hrstd="t" o:hr="t"/>
        </w:pict>
      </w:r>
    </w:p>
    <w:bookmarkEnd w:id="28"/>
    <w:bookmarkEnd w:id="29"/>
    <w:bookmarkStart w:id="30" w:name="support-contacts"/>
    <w:p>
      <w:pPr>
        <w:pStyle w:val="Heading2"/>
      </w:pPr>
      <w:r>
        <w:t xml:space="preserve">Support &amp; Contacts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Contact</w:t>
            </w:r>
          </w:p>
        </w:tc>
      </w:tr>
      <w:tr>
        <w:tc>
          <w:tcPr/>
          <w:p>
            <w:pPr>
              <w:pStyle w:val="Compact"/>
            </w:pPr>
            <w:r>
              <w:t xml:space="preserve">Integration technical support</w:t>
            </w:r>
          </w:p>
        </w:tc>
        <w:tc>
          <w:tcPr/>
          <w:p>
            <w:pPr>
              <w:pStyle w:val="Compact"/>
            </w:pPr>
            <w:r>
              <w:t xml:space="preserve">integration@compoundiq.com</w:t>
            </w:r>
          </w:p>
        </w:tc>
      </w:tr>
      <w:tr>
        <w:tc>
          <w:tcPr/>
          <w:p>
            <w:pPr>
              <w:pStyle w:val="Compact"/>
            </w:pPr>
            <w:r>
              <w:t xml:space="preserve">API credentials and secrets</w:t>
            </w:r>
          </w:p>
        </w:tc>
        <w:tc>
          <w:tcPr/>
          <w:p>
            <w:pPr>
              <w:pStyle w:val="Compact"/>
            </w:pPr>
            <w:r>
              <w:t xml:space="preserve">security@compoundiq.com</w:t>
            </w:r>
          </w:p>
        </w:tc>
      </w:tr>
      <w:tr>
        <w:tc>
          <w:tcPr/>
          <w:p>
            <w:pPr>
              <w:pStyle w:val="Compact"/>
            </w:pPr>
            <w:r>
              <w:t xml:space="preserve">Operations escalation</w:t>
            </w:r>
          </w:p>
        </w:tc>
        <w:tc>
          <w:tcPr/>
          <w:p>
            <w:pPr>
              <w:pStyle w:val="Compact"/>
            </w:pPr>
            <w:r>
              <w:t xml:space="preserve">ops@compoundiq.com</w:t>
            </w:r>
          </w:p>
        </w:tc>
      </w:tr>
      <w:tr>
        <w:tc>
          <w:tcPr/>
          <w:p>
            <w:pPr>
              <w:pStyle w:val="Compact"/>
            </w:pPr>
            <w:r>
              <w:t xml:space="preserve">BAA and legal</w:t>
            </w:r>
          </w:p>
        </w:tc>
        <w:tc>
          <w:tcPr/>
          <w:p>
            <w:pPr>
              <w:pStyle w:val="Compact"/>
            </w:pPr>
            <w:r>
              <w:t xml:space="preserve">legal@compoundiq.com</w:t>
            </w:r>
          </w:p>
        </w:tc>
      </w:tr>
    </w:tbl>
    <w:p>
      <w:r>
        <w:pict>
          <v:rect style="width:0;height:1.5pt" o:hralign="center" o:hrstd="t" o:hr="t"/>
        </w:pict>
      </w:r>
    </w:p>
    <w:p>
      <w:pPr>
        <w:pStyle w:val="FirstParagraph"/>
      </w:pPr>
      <w:r>
        <w:rPr>
          <w:i/>
          <w:iCs/>
        </w:rPr>
        <w:t xml:space="preserve">CompoundIQ — Structured orders. Real-time tracking. No more faxes.</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2026-04-15T14:08:41Z</dcterms:created>
  <dcterms:modified xsi:type="dcterms:W3CDTF">2026-04-15T14:08:41Z</dcterms:modified>
</cp:coreProperties>
</file>

<file path=docProps/custom.xml><?xml version="1.0" encoding="utf-8"?>
<Properties xmlns="http://schemas.openxmlformats.org/officeDocument/2006/custom-properties" xmlns:vt="http://schemas.openxmlformats.org/officeDocument/2006/docPropsVTypes"/>
</file>