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1"/>
        </w:numPr>
        <w:pStyle w:val="Compact"/>
      </w:pPr>
      <w:r>
        <w:t xml:space="preserve">Stripe test card: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78701</w:t>
      </w:r>
    </w:p>
    <w:p>
      <w:r>
        <w:pict>
          <v:rect style="width:0;height:1.5pt" o:hralign="center" o:hrstd="t" o:hr="t"/>
        </w:pict>
      </w:r>
    </w:p>
    <w:bookmarkEnd w:id="20"/>
    <w:bookmarkStart w:id="28" w:name="demo-flow-6-steps"/>
    <w:p>
      <w:pPr>
        <w:pStyle w:val="Heading2"/>
      </w:pPr>
      <w:r>
        <w:t xml:space="preserve">Demo Flow (6 Steps)</w:t>
      </w:r>
    </w:p>
    <w:bookmarkStart w:id="21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2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2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2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2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3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($300 retail, $127.50 est. clinic margin). Sig is pre-filled.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</w:rPr>
        <w:t xml:space="preserve">EPCS 2FA Tip:</w:t>
      </w:r>
      <w:r>
        <w:t xml:space="preserve"> </w:t>
      </w:r>
      <w:r>
        <w:t xml:space="preserve">The EPCS 2FA modal (QR code + 6-digit TOTP) triggers from the single-Rx favorites flow with a controlled substance, not the batch path. Demo it separately if needed.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2"/>
    <w:bookmarkStart w:id="23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4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4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4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Get the checkout URL</w:t>
      </w:r>
      <w:r>
        <w:t xml:space="preserve"> </w:t>
      </w:r>
      <w:r>
        <w:t xml:space="preserve">— In a separate terminal, run: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dotenv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.env.local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npx tsx scripts/get-checkout-url.ts</w:t>
      </w:r>
    </w:p>
    <w:p>
      <w:pPr>
        <w:pStyle w:val="FirstParagraph"/>
      </w:pPr>
      <w:r>
        <w:t xml:space="preserve">Copy the URL from the output. (In production, the patient receives this via text message.)</w:t>
      </w:r>
    </w:p>
    <w:p>
      <w:r>
        <w:pict>
          <v:rect style="width:0;height:1.5pt" o:hralign="center" o:hrstd="t" o:hr="t"/>
        </w:pict>
      </w:r>
    </w:p>
    <w:bookmarkEnd w:id="23"/>
    <w:bookmarkStart w:id="24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6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6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 $300 total</w:t>
      </w:r>
    </w:p>
    <w:p>
      <w:pPr>
        <w:numPr>
          <w:ilvl w:val="0"/>
          <w:numId w:val="1006"/>
        </w:numPr>
        <w:pStyle w:val="Compact"/>
      </w:pPr>
      <w:r>
        <w:t xml:space="preserve">Pay with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0"/>
          <w:numId w:val="1006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success page</w:t>
      </w:r>
      <w:r>
        <w:t xml:space="preserve">: animated checkmark, order reference</w:t>
      </w:r>
      <w:r>
        <w:t xml:space="preserve"> </w:t>
      </w:r>
      <w:r>
        <w:rPr>
          <w:rStyle w:val="VerbatimChar"/>
        </w:rPr>
        <w:t xml:space="preserve">#xxxxx</w:t>
      </w:r>
      <w:r>
        <w:t xml:space="preserve">,</w:t>
      </w:r>
      <w:r>
        <w:t xml:space="preserve"> </w:t>
      </w:r>
      <w:r>
        <w:t xml:space="preserve">“</w:t>
      </w:r>
      <w:r>
        <w:t xml:space="preserve">Within 3–7 business days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4"/>
    <w:bookmarkStart w:id="25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7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7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7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08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08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08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08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Semaglutide, Tirzepatide, Testosterone, Sermorelin, Naltrexone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Test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4242 4242 4242 4242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12/28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123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2026-09-09T19:59:59Z</dcterms:created>
  <dcterms:modified xsi:type="dcterms:W3CDTF">2026-09-09T19:59:59Z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