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2.17 |</w:t>
      </w:r>
      <w:r>
        <w:t xml:space="preserve"> </w:t>
      </w:r>
      <w:r>
        <w:rPr>
          <w:bCs/>
          <w:b/>
        </w:rPr>
        <w:t xml:space="preserve">Date:</w:t>
      </w:r>
      <w:r>
        <w:t xml:space="preserve"> </w:t>
      </w:r>
      <w:r>
        <w:t xml:space="preserve">September 13,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v2.17 (2026-09-13):</w:t>
      </w:r>
      <w:r>
        <w:t xml:space="preserve"> </w:t>
      </w:r>
      <w:r>
        <w:t xml:space="preserve">Phase 21, practitioner feedback round 1 — WO-97, WO-98 and WO-100.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~$286.00 charge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~$286.00 payment</w:t>
      </w:r>
      <w:r>
        <w:t xml:space="preserve">,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quick-actions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Quick Actions Panel</w:t>
      </w:r>
      <w:r>
        <w:t xml:space="preserve"> </w:t>
      </w:r>
      <w:r>
        <w:t xml:space="preserve">with two tabs:</w:t>
      </w:r>
      <w:r>
        <w:t xml:space="preserve"> </w:t>
      </w:r>
      <w:r>
        <w:rPr>
          <w:bCs/>
          <w:b/>
        </w:rPr>
        <w:t xml:space="preserve">Favorites</w:t>
      </w:r>
      <w:r>
        <w:t xml:space="preserve"> </w:t>
      </w:r>
      <w:r>
        <w:t xml:space="preserve">and</w:t>
      </w:r>
      <w:r>
        <w:t xml:space="preserve"> </w:t>
      </w:r>
      <w:r>
        <w:rPr>
          <w:bCs/>
          <w:b/>
        </w:rPr>
        <w:t xml:space="preserve">Protocols</w:t>
      </w:r>
    </w:p>
    <w:p>
      <w:pPr>
        <w:numPr>
          <w:ilvl w:val="0"/>
          <w:numId w:val="1020"/>
        </w:numPr>
      </w:pPr>
      <w:r>
        <w:rPr>
          <w:bCs/>
          <w:b/>
        </w:rPr>
        <w:t xml:space="preserve">Favorites tab</w:t>
      </w:r>
      <w:r>
        <w:t xml:space="preserve"> </w:t>
      </w:r>
      <w:r>
        <w:t xml:space="preserve">— the tab header reads</w:t>
      </w:r>
      <w:r>
        <w:t xml:space="preserve"> </w:t>
      </w:r>
      <w:r>
        <w:rPr>
          <w:bCs/>
          <w:b/>
        </w:rPr>
        <w:t xml:space="preserve">Favorites (10)</w:t>
      </w:r>
      <w:r>
        <w:t xml:space="preserve"> </w:t>
      </w:r>
      <w:r>
        <w:t xml:space="preserve">(verified live as the MA on 2026-09-10). The list is ordered by use count, most-used first:</w:t>
      </w:r>
    </w:p>
    <w:p>
      <w:pPr>
        <w:numPr>
          <w:ilvl w:val="1"/>
          <w:numId w:val="1021"/>
        </w:numPr>
        <w:pStyle w:val="Compact"/>
      </w:pPr>
      <w:r>
        <w:t xml:space="preserve">Semaglutide 0.5mg weekly</w:t>
      </w:r>
    </w:p>
    <w:p>
      <w:pPr>
        <w:numPr>
          <w:ilvl w:val="1"/>
          <w:numId w:val="1021"/>
        </w:numPr>
        <w:pStyle w:val="Compact"/>
      </w:pPr>
      <w:r>
        <w:t xml:space="preserve">Standard TRT — Cyp 200mg</w:t>
      </w:r>
    </w:p>
    <w:p>
      <w:pPr>
        <w:numPr>
          <w:ilvl w:val="1"/>
          <w:numId w:val="1021"/>
        </w:numPr>
        <w:pStyle w:val="Compact"/>
      </w:pPr>
      <w:r>
        <w:t xml:space="preserve">TRT Cyp 200 — Weekly</w:t>
      </w:r>
    </w:p>
    <w:p>
      <w:pPr>
        <w:numPr>
          <w:ilvl w:val="1"/>
          <w:numId w:val="1021"/>
        </w:numPr>
        <w:pStyle w:val="Compact"/>
      </w:pPr>
      <w:r>
        <w:t xml:space="preserve">Estradiol 0.1% Cream</w:t>
      </w:r>
    </w:p>
    <w:p>
      <w:pPr>
        <w:numPr>
          <w:ilvl w:val="1"/>
          <w:numId w:val="1021"/>
        </w:numPr>
        <w:pStyle w:val="Compact"/>
      </w:pPr>
      <w:r>
        <w:t xml:space="preserve">LDN Starter — Titration</w:t>
      </w:r>
    </w:p>
    <w:p>
      <w:pPr>
        <w:numPr>
          <w:ilvl w:val="1"/>
          <w:numId w:val="1021"/>
        </w:numPr>
        <w:pStyle w:val="Compact"/>
      </w:pPr>
      <w:r>
        <w:t xml:space="preserve">Biest 80/20</w:t>
      </w:r>
    </w:p>
    <w:p>
      <w:pPr>
        <w:numPr>
          <w:ilvl w:val="1"/>
          <w:numId w:val="1021"/>
        </w:numPr>
        <w:pStyle w:val="Compact"/>
      </w:pPr>
      <w:r>
        <w:t xml:space="preserve">LDN 4.5 Maintenance</w:t>
      </w:r>
    </w:p>
    <w:p>
      <w:pPr>
        <w:numPr>
          <w:ilvl w:val="1"/>
          <w:numId w:val="1021"/>
        </w:numPr>
        <w:pStyle w:val="Compact"/>
      </w:pPr>
      <w:r>
        <w:t xml:space="preserve">BPC-157 daily cycling</w:t>
      </w:r>
    </w:p>
    <w:p>
      <w:pPr>
        <w:numPr>
          <w:ilvl w:val="1"/>
          <w:numId w:val="1021"/>
        </w:numPr>
        <w:pStyle w:val="Compact"/>
      </w:pPr>
      <w:r>
        <w:t xml:space="preserve">NAD+ Longevity</w:t>
      </w:r>
    </w:p>
    <w:p>
      <w:pPr>
        <w:numPr>
          <w:ilvl w:val="1"/>
          <w:numId w:val="1021"/>
        </w:numPr>
        <w:pStyle w:val="Compact"/>
      </w:pPr>
      <w:r>
        <w:t xml:space="preserve">Tadalafil 10 Troche</w:t>
      </w:r>
    </w:p>
    <w:p>
      <w:pPr>
        <w:numPr>
          <w:ilvl w:val="0"/>
          <w:numId w:val="1000"/>
        </w:numPr>
      </w:pPr>
      <w:r>
        <w:t xml:space="preserve">Note the titration/cycling badges on the relevant favorites (LDN Starter, BPC-157).</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w:t>
      </w:r>
      <w:r>
        <w:t xml:space="preserve"> </w:t>
      </w:r>
      <w:r>
        <w:rPr>
          <w:bCs/>
          <w:b/>
        </w:rPr>
        <w:t xml:space="preserve">Protocols tab</w:t>
      </w:r>
      <w:r>
        <w:t xml:space="preserve"> </w:t>
      </w:r>
      <w:r>
        <w:t xml:space="preserve">— the tab header reads</w:t>
      </w:r>
      <w:r>
        <w:t xml:space="preserve"> </w:t>
      </w:r>
      <w:r>
        <w:rPr>
          <w:bCs/>
          <w:b/>
        </w:rPr>
        <w:t xml:space="preserve">Protocols (3)</w:t>
      </w:r>
      <w:r>
        <w:t xml:space="preserve"> </w:t>
      </w:r>
      <w:r>
        <w:t xml:space="preserve">(verified live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Quick Actions Panel and stay on the</w:t>
      </w:r>
      <w:r>
        <w:t xml:space="preserve"> </w:t>
      </w:r>
      <w:r>
        <w:rPr>
          <w:bCs/>
          <w:b/>
        </w:rPr>
        <w:t xml:space="preserve">Favorites</w:t>
      </w:r>
      <w:r>
        <w:t xml:space="preserve"> </w:t>
      </w:r>
      <w:r>
        <w:t xml:space="preserve">tab.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w:t>
      </w:r>
      <w:r>
        <w:t xml:space="preserve">and show the same Favorites tab with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8"/>
        </w:numPr>
        <w:pStyle w:val="Compact"/>
      </w:pPr>
      <w:r>
        <w:t xml:space="preserve">Select quantity (</w:t>
      </w:r>
      <w:r>
        <w:rPr>
          <w:bCs/>
          <w:b/>
        </w:rPr>
        <w:t xml:space="preserve">“</w:t>
      </w:r>
      <w:r>
        <w:rPr>
          <w:bCs/>
          <w:b/>
        </w:rPr>
        <w:t xml:space="preserve">5mL vial</w:t>
      </w:r>
      <w:r>
        <w:rPr>
          <w:bCs/>
          <w:b/>
        </w:rPr>
        <w:t xml:space="preserve">”</w:t>
      </w:r>
      <w:r>
        <w:t xml:space="preserve">) and refills.</w:t>
      </w:r>
      <w:r>
        <w:t xml:space="preserve"> </w:t>
      </w:r>
      <w:r>
        <w:rPr>
          <w:bCs/>
          <w:b/>
        </w:rPr>
        <w:t xml:space="preserve">Point out the star button</w:t>
      </w:r>
      <w:r>
        <w:t xml:space="preserve"> </w:t>
      </w:r>
      <w:r>
        <w:t xml:space="preserve">next to</w:t>
      </w:r>
      <w:r>
        <w:t xml:space="preserve"> </w:t>
      </w:r>
      <w:r>
        <w:t xml:space="preserve">“</w:t>
      </w:r>
      <w:r>
        <w:t xml:space="preserve">Continue — Set Retail Price</w:t>
      </w:r>
      <w:r>
        <w:t xml:space="preserve">”</w:t>
      </w:r>
    </w:p>
    <w:p>
      <w:pPr>
        <w:pStyle w:val="BlockText"/>
      </w:pPr>
      <w:r>
        <w:rPr>
          <w:bCs/>
          <w:b/>
        </w:rPr>
        <w:t xml:space="preserve">v2.16 — pick the quantity, don’t skip it.</w:t>
      </w:r>
      <w:r>
        <w:t xml:space="preserve"> </w:t>
      </w:r>
      <w:r>
        <w:t xml:space="preserve">The next screen derives</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from dose × frequency × this quantity. With no quantity selected it shows a dash and explains why.</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350 days · Dispense: 5 mL</w:t>
      </w:r>
      <w:r>
        <w:t xml:space="preserve">, computed from 10 units once weekly out of a 5 mL vial, with an</w:t>
      </w:r>
      <w:r>
        <w:t xml:space="preserve"> </w:t>
      </w:r>
      <w:r>
        <w:rPr>
          <w:bCs/>
          <w:b/>
        </w:rPr>
        <w:t xml:space="preserve">Override</w:t>
      </w:r>
      <w:r>
        <w:t xml:space="preserve"> </w:t>
      </w:r>
      <w:r>
        <w:t xml:space="preserve">link.</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t xml:space="preserve">Combined totals (total retail, platform fee, total clinic payout)</w:t>
      </w:r>
    </w:p>
    <w:p>
      <w:pPr>
        <w:numPr>
          <w:ilvl w:val="1"/>
          <w:numId w:val="1035"/>
        </w:numPr>
        <w:pStyle w:val="Compact"/>
      </w:pPr>
      <w:r>
        <w:t xml:space="preserve">“</w:t>
      </w:r>
      <w:r>
        <w:t xml:space="preserve">Remove</w:t>
      </w:r>
      <w:r>
        <w:t xml:space="preserve">”</w:t>
      </w:r>
      <w:r>
        <w:t xml:space="preserve"> </w:t>
      </w:r>
      <w:r>
        <w:t xml:space="preserve">link on each card</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4"/>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4"/>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5"/>
        </w:numPr>
        <w:pStyle w:val="Compact"/>
      </w:pPr>
      <w:r>
        <w:rPr>
          <w:bCs/>
          <w:b/>
        </w:rPr>
        <w:t xml:space="preserve">Point out</w:t>
      </w:r>
      <w:r>
        <w:t xml:space="preserve"> </w:t>
      </w:r>
      <w:r>
        <w:t xml:space="preserve">the sign page: patient info, provider info, prescription details, financial summary,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pStyle w:val="BlockText"/>
      </w:pPr>
      <w:r>
        <w:rPr>
          <w:bCs/>
          <w:b/>
        </w:rPr>
        <w:t xml:space="preserve">v2.17 — before signing, point at the</w:t>
      </w:r>
      <w:r>
        <w:rPr>
          <w:bCs/>
          <w:b/>
        </w:rPr>
        <w:t xml:space="preserve"> </w:t>
      </w:r>
      <w:r>
        <w:rPr>
          <w:bCs/>
          <w:b/>
        </w:rPr>
        <w:t xml:space="preserve">“</w:t>
      </w:r>
      <w:r>
        <w:rPr>
          <w:bCs/>
          <w:b/>
        </w:rPr>
        <w:t xml:space="preserve">Draft lines</w:t>
      </w:r>
      <w:r>
        <w:rPr>
          <w:bCs/>
          <w:b/>
        </w:rPr>
        <w:t xml:space="preserve">”</w:t>
      </w:r>
      <w:r>
        <w:rPr>
          <w:bCs/>
          <w:b/>
        </w:rPr>
        <w:t xml:space="preserve"> </w:t>
      </w:r>
      <w:r>
        <w:rPr>
          <w:bCs/>
          <w:b/>
        </w:rPr>
        <w:t xml:space="preserve">box.</w:t>
      </w:r>
      <w:r>
        <w:t xml:space="preserve"> </w:t>
      </w:r>
      <w:r>
        <w:t xml:space="preserve">It lists this draft line (badge</w:t>
      </w:r>
      <w:r>
        <w:t xml:space="preserve"> </w:t>
      </w:r>
      <w:r>
        <w:rPr>
          <w:bCs/>
          <w:b/>
        </w:rPr>
        <w:t xml:space="preserve">signing now</w:t>
      </w:r>
      <w:r>
        <w:t xml:space="preserve">) and any sibling drafts for the same patient and provider, each with</w:t>
      </w:r>
      <w:r>
        <w:t xml:space="preserve"> </w:t>
      </w:r>
      <w:r>
        <w:rPr>
          <w:bCs/>
          <w:b/>
        </w:rPr>
        <w:t xml:space="preserve">Edit</w:t>
      </w:r>
      <w:r>
        <w:t xml:space="preserve"> </w:t>
      </w:r>
      <w:r>
        <w:t xml:space="preserve">and</w:t>
      </w:r>
      <w:r>
        <w:t xml:space="preserve"> </w:t>
      </w:r>
      <w:r>
        <w:rPr>
          <w:bCs/>
          <w:b/>
        </w:rPr>
        <w:t xml:space="preserve">Remove</w:t>
      </w:r>
      <w:r>
        <w:t xml:space="preserve">, plus</w:t>
      </w:r>
      <w:r>
        <w:t xml:space="preserve"> </w:t>
      </w:r>
      <w:r>
        <w:rPr>
          <w:bCs/>
          <w:b/>
        </w:rPr>
        <w:t xml:space="preserve">“</w:t>
      </w:r>
      <w:r>
        <w:rPr>
          <w:bCs/>
          <w:b/>
        </w:rPr>
        <w:t xml:space="preserve">+ Add prescription</w:t>
      </w:r>
      <w:r>
        <w:rPr>
          <w:bCs/>
          <w:b/>
        </w:rPr>
        <w:t xml:space="preserve">”</w:t>
      </w:r>
      <w:r>
        <w:t xml:space="preserve">. 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straight back here with the line updated and the</w:t>
      </w:r>
      <w:r>
        <w:t xml:space="preserve"> </w:t>
      </w:r>
      <w:r>
        <w:rPr>
          <w:bCs/>
          <w:b/>
        </w:rPr>
        <w:t xml:space="preserve">same order id</w:t>
      </w:r>
      <w:r>
        <w:t xml:space="preserve">. Click</w:t>
      </w:r>
      <w:r>
        <w:t xml:space="preserve"> </w:t>
      </w:r>
      <w:r>
        <w:rPr>
          <w:bCs/>
          <w:b/>
        </w:rPr>
        <w:t xml:space="preserve">“</w:t>
      </w:r>
      <w:r>
        <w:rPr>
          <w:bCs/>
          <w:b/>
        </w:rPr>
        <w:t xml:space="preserve">+ Add prescription</w:t>
      </w:r>
      <w:r>
        <w:rPr>
          <w:bCs/>
          <w:b/>
        </w:rPr>
        <w:t xml:space="preserve">”</w:t>
      </w:r>
      <w:r>
        <w:t xml:space="preserve"> </w:t>
      </w:r>
      <w:r>
        <w:t xml:space="preserve">to append a line (patient and provider are pinned from the draft).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 the row keeps its id with</w:t>
      </w:r>
      <w:r>
        <w:t xml:space="preserve"> </w:t>
      </w:r>
      <w:r>
        <w:rPr>
          <w:rStyle w:val="VerbatimChar"/>
        </w:rPr>
        <w:t xml:space="preserve">deleted_at</w:t>
      </w:r>
      <w:r>
        <w:t xml:space="preserve"> </w:t>
      </w:r>
      <w:r>
        <w:t xml:space="preserve">set. Optional for the scripted flow; skip it if time is short.</w:t>
      </w:r>
    </w:p>
    <w:p>
      <w:pPr>
        <w:numPr>
          <w:ilvl w:val="0"/>
          <w:numId w:val="1046"/>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7"/>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and Dr. Chen opens it from</w:t>
      </w:r>
      <w:r>
        <w:t xml:space="preserve"> </w:t>
      </w:r>
      <w:r>
        <w:rPr>
          <w:bCs/>
          <w:b/>
        </w:rPr>
        <w:t xml:space="preserve">All clinic orders → Drafts → Review &amp; Sign This Prescription</w:t>
      </w:r>
      <w:r>
        <w:t xml:space="preserve">, the sign page shows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in place of the signature pad. Click it: every line of that draft moves to Dr. Chen, the audit trail records the reassignment from Patel, and the same page becomes the ordinary signing form (steps 54–55).</w:t>
      </w:r>
      <w:r>
        <w:t xml:space="preserve"> </w:t>
      </w:r>
      <w:r>
        <w:rPr>
          <w:iCs/>
          <w:i/>
        </w:rPr>
        <w:t xml:space="preserve">“</w:t>
      </w:r>
      <w:r>
        <w:rPr>
          <w:iCs/>
          <w:i/>
        </w:rPr>
        <w:t xml:space="preserve">Dr. Patel is out today. Dr. Chen takes the draft over under her own name and license — and the record says exactly who took it from whom.</w:t>
      </w:r>
      <w:r>
        <w:rPr>
          <w:iCs/>
          <w:i/>
        </w:rPr>
        <w:t xml:space="preserve">”</w:t>
      </w:r>
      <w:r>
        <w:t xml:space="preserve"> </w:t>
      </w:r>
      <w:r>
        <w:t xml:space="preserve">The order shows provider = Chen from then on.</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8"/>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8"/>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~$286.00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6"/>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6"/>
        </w:numPr>
        <w:pStyle w:val="Compact"/>
      </w:pPr>
      <w:r>
        <w:rPr>
          <w:bCs/>
          <w:b/>
        </w:rPr>
        <w:t xml:space="preserve">Point out:</w:t>
      </w:r>
    </w:p>
    <w:p>
      <w:pPr>
        <w:numPr>
          <w:ilvl w:val="1"/>
          <w:numId w:val="1057"/>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7"/>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57"/>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7"/>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57"/>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7"/>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7"/>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7"/>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8"/>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9"/>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0"/>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1"/>
        </w:numPr>
        <w:pStyle w:val="Compact"/>
      </w:pPr>
      <w:r>
        <w:t xml:space="preserve">Navigate to</w:t>
      </w:r>
      <w:r>
        <w:t xml:space="preserve"> </w:t>
      </w:r>
      <w:r>
        <w:rPr>
          <w:rStyle w:val="VerbatimChar"/>
        </w:rPr>
        <w:t xml:space="preserve">https://functional-medicine-infrastructure.vercel.app/checkout/expired</w:t>
      </w:r>
    </w:p>
    <w:p>
      <w:pPr>
        <w:numPr>
          <w:ilvl w:val="0"/>
          <w:numId w:val="1061"/>
        </w:numPr>
        <w:pStyle w:val="Compact"/>
      </w:pPr>
      <w:r>
        <w:rPr>
          <w:bCs/>
          <w:b/>
        </w:rPr>
        <w:t xml:space="preserve">Point out:</w:t>
      </w:r>
    </w:p>
    <w:p>
      <w:pPr>
        <w:numPr>
          <w:ilvl w:val="1"/>
          <w:numId w:val="1062"/>
        </w:numPr>
        <w:pStyle w:val="Compact"/>
      </w:pPr>
      <w:r>
        <w:t xml:space="preserve">Clock icon, friendly message</w:t>
      </w:r>
    </w:p>
    <w:p>
      <w:pPr>
        <w:numPr>
          <w:ilvl w:val="1"/>
          <w:numId w:val="1062"/>
        </w:numPr>
        <w:pStyle w:val="Compact"/>
      </w:pPr>
      <w:r>
        <w:t xml:space="preserve">“</w:t>
      </w:r>
      <w:r>
        <w:t xml:space="preserve">Payment links expire after 72 hours for security</w:t>
      </w:r>
      <w:r>
        <w:t xml:space="preserve">”</w:t>
      </w:r>
    </w:p>
    <w:p>
      <w:pPr>
        <w:numPr>
          <w:ilvl w:val="1"/>
          <w:numId w:val="1062"/>
        </w:numPr>
        <w:pStyle w:val="Compact"/>
      </w:pPr>
      <w:r>
        <w:t xml:space="preserve">Instructions to contact clinic</w:t>
      </w:r>
    </w:p>
    <w:p>
      <w:pPr>
        <w:numPr>
          <w:ilvl w:val="1"/>
          <w:numId w:val="1062"/>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3"/>
        </w:numPr>
        <w:pStyle w:val="Compact"/>
      </w:pPr>
      <w:r>
        <w:t xml:space="preserve">Open a new tab, navigate to</w:t>
      </w:r>
      <w:r>
        <w:t xml:space="preserve"> </w:t>
      </w:r>
      <w:r>
        <w:rPr>
          <w:rStyle w:val="VerbatimChar"/>
        </w:rPr>
        <w:t xml:space="preserve">https://functional-medicine-infrastructure.vercel.app/login</w:t>
      </w:r>
    </w:p>
    <w:p>
      <w:pPr>
        <w:numPr>
          <w:ilvl w:val="0"/>
          <w:numId w:val="1063"/>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3"/>
        </w:numPr>
        <w:pStyle w:val="Compact"/>
      </w:pPr>
      <w:r>
        <w:rPr>
          <w:bCs/>
          <w:b/>
        </w:rPr>
        <w:t xml:space="preserve">Point out the dark-mode dashboard:</w:t>
      </w:r>
    </w:p>
    <w:p>
      <w:pPr>
        <w:numPr>
          <w:ilvl w:val="1"/>
          <w:numId w:val="1064"/>
        </w:numPr>
        <w:pStyle w:val="Compact"/>
      </w:pPr>
      <w:r>
        <w:t xml:space="preserve">Pipeline stage groups in the left sidebar (Payment, Submission, Pharmacy, Shipping, Errors / Terminal)</w:t>
      </w:r>
    </w:p>
    <w:p>
      <w:pPr>
        <w:numPr>
          <w:ilvl w:val="1"/>
          <w:numId w:val="1064"/>
        </w:numPr>
        <w:pStyle w:val="Compact"/>
      </w:pPr>
      <w:r>
        <w:t xml:space="preserve">Each stage has a count badge</w:t>
      </w:r>
    </w:p>
    <w:p>
      <w:pPr>
        <w:numPr>
          <w:ilvl w:val="1"/>
          <w:numId w:val="1064"/>
        </w:numPr>
        <w:pStyle w:val="Compact"/>
      </w:pPr>
      <w:r>
        <w:t xml:space="preserve">Order table with columns: Order, Status, Clinic, Pharmacy / Tier, SLA, Assigned, Actions</w:t>
      </w:r>
    </w:p>
    <w:p>
      <w:pPr>
        <w:numPr>
          <w:ilvl w:val="1"/>
          <w:numId w:val="1064"/>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5"/>
        </w:numPr>
        <w:pStyle w:val="Compact"/>
      </w:pPr>
      <w:r>
        <w:rPr>
          <w:bCs/>
          <w:b/>
        </w:rPr>
        <w:t xml:space="preserve">Point out an order row:</w:t>
      </w:r>
    </w:p>
    <w:p>
      <w:pPr>
        <w:numPr>
          <w:ilvl w:val="1"/>
          <w:numId w:val="1066"/>
        </w:numPr>
        <w:pStyle w:val="Compact"/>
      </w:pPr>
      <w:r>
        <w:t xml:space="preserve">Status badge (colored)</w:t>
      </w:r>
    </w:p>
    <w:p>
      <w:pPr>
        <w:numPr>
          <w:ilvl w:val="1"/>
          <w:numId w:val="1066"/>
        </w:numPr>
        <w:pStyle w:val="Compact"/>
      </w:pPr>
      <w:r>
        <w:t xml:space="preserve">SLA column — a countdown to the next deadline, or the resolved state</w:t>
      </w:r>
    </w:p>
    <w:p>
      <w:pPr>
        <w:numPr>
          <w:ilvl w:val="1"/>
          <w:numId w:val="1066"/>
        </w:numPr>
        <w:pStyle w:val="Compact"/>
      </w:pPr>
      <w:r>
        <w:t xml:space="preserve">Tier icon (Tier 1 API / Tier 2 Portal / Tier 3 Hybrid / Tier 4 Fax — the demo seed has orders across all four tiers)</w:t>
      </w:r>
    </w:p>
    <w:p>
      <w:pPr>
        <w:numPr>
          <w:ilvl w:val="1"/>
          <w:numId w:val="1066"/>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7"/>
        </w:numPr>
        <w:pStyle w:val="Compact"/>
      </w:pPr>
      <w:r>
        <w:rPr>
          <w:bCs/>
          <w:b/>
        </w:rPr>
        <w:t xml:space="preserve">Show the filter bar:</w:t>
      </w:r>
    </w:p>
    <w:p>
      <w:pPr>
        <w:numPr>
          <w:ilvl w:val="1"/>
          <w:numId w:val="1068"/>
        </w:numPr>
        <w:pStyle w:val="Compact"/>
      </w:pPr>
      <w:r>
        <w:t xml:space="preserve">Filter by Clinic, Pharmacy, Tier, Date range</w:t>
      </w:r>
    </w:p>
    <w:p>
      <w:pPr>
        <w:numPr>
          <w:ilvl w:val="1"/>
          <w:numId w:val="1068"/>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9"/>
        </w:numPr>
        <w:pStyle w:val="Compact"/>
      </w:pPr>
      <w:r>
        <w:rPr>
          <w:bCs/>
          <w:b/>
        </w:rPr>
        <w:t xml:space="preserve">Click an order</w:t>
      </w:r>
      <w:r>
        <w:t xml:space="preserve"> </w:t>
      </w:r>
      <w:r>
        <w:t xml:space="preserve">to open the detail drawer</w:t>
      </w:r>
    </w:p>
    <w:p>
      <w:pPr>
        <w:numPr>
          <w:ilvl w:val="0"/>
          <w:numId w:val="1069"/>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0"/>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0"/>
        </w:numPr>
        <w:pStyle w:val="Compact"/>
      </w:pPr>
      <w:r>
        <w:rPr>
          <w:bCs/>
          <w:b/>
        </w:rPr>
        <w:t xml:space="preserve">Point out what is actually on the page:</w:t>
      </w:r>
    </w:p>
    <w:p>
      <w:pPr>
        <w:numPr>
          <w:ilvl w:val="1"/>
          <w:numId w:val="1071"/>
        </w:numPr>
        <w:pStyle w:val="Compact"/>
      </w:pPr>
      <w:r>
        <w:t xml:space="preserve">The filter pills across the top (All Active, Breached, and the rest) — the controls that scope the view</w:t>
      </w:r>
    </w:p>
    <w:p>
      <w:pPr>
        <w:numPr>
          <w:ilvl w:val="1"/>
          <w:numId w:val="1071"/>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2"/>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2"/>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3"/>
        </w:numPr>
        <w:pStyle w:val="Compact"/>
      </w:pPr>
      <w:r>
        <w:t xml:space="preserve">A traffic-light health indicator (green / yellow / red for Degraded or Critical / slate for Idle)</w:t>
      </w:r>
    </w:p>
    <w:p>
      <w:pPr>
        <w:numPr>
          <w:ilvl w:val="1"/>
          <w:numId w:val="1073"/>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3"/>
        </w:numPr>
        <w:pStyle w:val="Compact"/>
      </w:pPr>
      <w:r>
        <w:t xml:space="preserve">24-hour submission success rate + total submission count + failure count</w:t>
      </w:r>
    </w:p>
    <w:p>
      <w:pPr>
        <w:numPr>
          <w:ilvl w:val="1"/>
          <w:numId w:val="1073"/>
        </w:numPr>
        <w:pStyle w:val="Compact"/>
      </w:pPr>
      <w:r>
        <w:t xml:space="preserve">p50 / p95 / p99 latency percentiles</w:t>
      </w:r>
    </w:p>
    <w:p>
      <w:pPr>
        <w:numPr>
          <w:ilvl w:val="1"/>
          <w:numId w:val="1073"/>
        </w:numPr>
        <w:pStyle w:val="Compact"/>
      </w:pPr>
      <w:r>
        <w:t xml:space="preserve">A 24-hour submissions bar chart (green bars for successes, pink for failures)</w:t>
      </w:r>
    </w:p>
    <w:p>
      <w:pPr>
        <w:numPr>
          <w:ilvl w:val="1"/>
          <w:numId w:val="1073"/>
        </w:numPr>
        <w:pStyle w:val="Compact"/>
      </w:pPr>
      <w:r>
        <w:t xml:space="preserve">“</w:t>
      </w:r>
      <w:r>
        <w:t xml:space="preserve">Last success</w:t>
      </w:r>
      <w:r>
        <w:t xml:space="preserve">”</w:t>
      </w:r>
      <w:r>
        <w:t xml:space="preserve"> </w:t>
      </w:r>
      <w:r>
        <w:t xml:space="preserve">relative timestamp</w:t>
      </w:r>
    </w:p>
    <w:p>
      <w:pPr>
        <w:numPr>
          <w:ilvl w:val="1"/>
          <w:numId w:val="1073"/>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4"/>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4"/>
        </w:numPr>
        <w:pStyle w:val="Compact"/>
      </w:pPr>
      <w:r>
        <w:rPr>
          <w:bCs/>
          <w:b/>
        </w:rPr>
        <w:t xml:space="preserve">Point out what the page is:</w:t>
      </w:r>
    </w:p>
    <w:p>
      <w:pPr>
        <w:numPr>
          <w:ilvl w:val="1"/>
          <w:numId w:val="1075"/>
        </w:numPr>
        <w:pStyle w:val="Compact"/>
      </w:pPr>
      <w:r>
        <w:t xml:space="preserve">Status filter pills across the top (All, Received, Matched, Unmatched, Processed, Archived)</w:t>
      </w:r>
    </w:p>
    <w:p>
      <w:pPr>
        <w:numPr>
          <w:ilvl w:val="1"/>
          <w:numId w:val="1075"/>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5"/>
        </w:numPr>
        <w:pStyle w:val="Compact"/>
      </w:pPr>
      <w:r>
        <w:t xml:space="preserve">A list of inbound fax rows — each one shows status, from-number, page count, relative received-at timestamp, matched pharmacy/order if any</w:t>
      </w:r>
    </w:p>
    <w:p>
      <w:pPr>
        <w:numPr>
          <w:ilvl w:val="1"/>
          <w:numId w:val="1075"/>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6"/>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6"/>
        </w:numPr>
        <w:pStyle w:val="Compact"/>
      </w:pPr>
      <w:r>
        <w:rPr>
          <w:bCs/>
          <w:b/>
        </w:rPr>
        <w:t xml:space="preserve">Point out — two catalogs, clearly separated on one screen:</w:t>
      </w:r>
    </w:p>
    <w:p>
      <w:pPr>
        <w:numPr>
          <w:ilvl w:val="1"/>
          <w:numId w:val="1077"/>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7"/>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8"/>
        </w:numPr>
        <w:pStyle w:val="Compact"/>
      </w:pPr>
      <w:r>
        <w:t xml:space="preserve">☐ Answer all questions</w:t>
      </w:r>
    </w:p>
    <w:p>
      <w:pPr>
        <w:numPr>
          <w:ilvl w:val="0"/>
          <w:numId w:val="1078"/>
        </w:numPr>
        <w:pStyle w:val="Compact"/>
      </w:pPr>
      <w:r>
        <w:t xml:space="preserve">☐ Share POC URL if appropriate</w:t>
      </w:r>
    </w:p>
    <w:p>
      <w:pPr>
        <w:numPr>
          <w:ilvl w:val="0"/>
          <w:numId w:val="1078"/>
        </w:numPr>
        <w:pStyle w:val="Compact"/>
      </w:pPr>
      <w:r>
        <w:t xml:space="preserve">☐ Note any feedback or feature requests</w:t>
      </w:r>
    </w:p>
    <w:p>
      <w:pPr>
        <w:numPr>
          <w:ilvl w:val="0"/>
          <w:numId w:val="1078"/>
        </w:numPr>
        <w:pStyle w:val="Compact"/>
      </w:pPr>
      <w:r>
        <w:t xml:space="preserve">☐ Schedule follow-up if interest</w:t>
      </w:r>
    </w:p>
    <w:p>
      <w:pPr>
        <w:numPr>
          <w:ilvl w:val="0"/>
          <w:numId w:val="1078"/>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2026-09-13T19:17:35Z</dcterms:created>
  <dcterms:modified xsi:type="dcterms:W3CDTF">2026-09-13T19:17:35Z</dcterms:modified>
</cp:coreProperties>
</file>

<file path=docProps/custom.xml><?xml version="1.0" encoding="utf-8"?>
<Properties xmlns="http://schemas.openxmlformats.org/officeDocument/2006/custom-properties" xmlns:vt="http://schemas.openxmlformats.org/officeDocument/2006/docPropsVTypes"/>
</file>