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pStyle w:val="Compact"/>
        <w:numPr>
          <w:ilvl w:val="0"/>
          <w:numId w:val="1001"/>
        </w:numPr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9"/>
    <w:bookmarkStart w:id="17" w:name="demo-flow-6-steps"/>
    <w:p>
      <w:pPr>
        <w:pStyle w:val="Heading2"/>
      </w:pPr>
      <w:r>
        <w:t xml:space="preserve">Demo Flow (6 Steps)</w:t>
      </w:r>
    </w:p>
    <w:bookmarkStart w:id="10" w:name="step-1-show-the-clinic-app-2-min"/>
    <w:p>
      <w:pPr>
        <w:pStyle w:val="Heading3"/>
      </w:pPr>
      <w:r>
        <w:t xml:space="preserve">Step 1 — Show the Clinic App (2 min)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pStyle w:val="Compact"/>
        <w:numPr>
          <w:ilvl w:val="0"/>
          <w:numId w:val="100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pStyle w:val="Compact"/>
        <w:numPr>
          <w:ilvl w:val="0"/>
          <w:numId w:val="1002"/>
        </w:numPr>
      </w:pPr>
      <w:r>
        <w:t xml:space="preserve">Collapse/expand the</w:t>
      </w:r>
      <w:r>
        <w:t xml:space="preserve"> </w:t>
      </w:r>
      <w:r>
        <w:rPr>
          <w:b/>
          <w:bCs/>
        </w:rPr>
        <w:t xml:space="preserve">sidebar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“This is the medical assistant’s workspace. All clinic orders at a glance.”</w:t>
      </w:r>
    </w:p>
    <w:p>
      <w:r>
        <w:pict>
          <v:rect style="width:0;height:1.5pt" o:hralign="center" o:hrstd="t" o:hr="t"/>
        </w:pict>
      </w:r>
    </w:p>
    <w:bookmarkEnd w:id="10"/>
    <w:bookmarkStart w:id="11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“Semaglutide 0.5mg weekly”</w:t>
      </w:r>
      <w:r>
        <w:t xml:space="preserve"> </w:t>
      </w:r>
      <w:r>
        <w:t xml:space="preserve">for one-click load, OR: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/>
          <w:bCs/>
        </w:rPr>
        <w:t xml:space="preserve">“Continue — Set Retail Price”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“Add &amp; Search Another”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/>
          <w:bCs/>
        </w:rPr>
        <w:t xml:space="preserve">“Review &amp; Send (2)”</w:t>
      </w:r>
    </w:p>
    <w:p>
      <w:pPr>
        <w:pStyle w:val="Compact"/>
        <w:numPr>
          <w:ilvl w:val="0"/>
          <w:numId w:val="1003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“Confirm &amp; Send”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/>
          <w:bCs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“Cascading dropdowns, structured sig builder, provider favorites, DEA-compliant 2FA. Patient selected first. Two prescriptions. One signature. 45 seconds for a multi-medication visit.”</w:t>
      </w:r>
    </w:p>
    <w:bookmarkEnd w:id="11"/>
    <w:bookmarkStart w:id="12" w:name="step-2b-draft-flow-2-min"/>
    <w:p>
      <w:pPr>
        <w:pStyle w:val="Heading3"/>
      </w:pPr>
      <w:r>
        <w:t xml:space="preserve">Step 2B — Draft Flow (2 min)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  <w:r>
        <w:t xml:space="preserve"> </w:t>
      </w:r>
      <w:r>
        <w:t xml:space="preserve">→ Select Alex Demo → Continue</w:t>
      </w:r>
    </w:p>
    <w:p>
      <w:pPr>
        <w:pStyle w:val="Compact"/>
        <w:numPr>
          <w:ilvl w:val="0"/>
          <w:numId w:val="1004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“Save as Draft — Provider Signs Later”</w:t>
      </w:r>
      <w:r>
        <w:t xml:space="preserve"> </w:t>
      </w:r>
      <w:r>
        <w:t xml:space="preserve">→ redirects to dashboard</w:t>
      </w:r>
    </w:p>
    <w:p>
      <w:pPr>
        <w:pStyle w:val="Compact"/>
        <w:numPr>
          <w:ilvl w:val="0"/>
          <w:numId w:val="1004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“Drafts”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/>
          <w:bCs/>
        </w:rPr>
        <w:t xml:space="preserve">“Review &amp; Sign”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4"/>
        </w:numPr>
      </w:pPr>
      <w:r>
        <w:t xml:space="preserve">Review details →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“Awaiting Payment”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“The MA saves it. The provider signs it later. Different sessions, different logins. This is how real clinics work.”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12"/>
    <w:bookmarkStart w:id="13" w:name="step-3-patient-checkout-2-min"/>
    <w:p>
      <w:pPr>
        <w:pStyle w:val="Heading3"/>
      </w:pPr>
      <w:r>
        <w:t xml:space="preserve">Step 3 — Patient Checkout (2 min)</w:t>
      </w:r>
    </w:p>
    <w:p>
      <w:pPr>
        <w:pStyle w:val="Compact"/>
        <w:numPr>
          <w:ilvl w:val="0"/>
          <w:numId w:val="100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pStyle w:val="Compact"/>
        <w:numPr>
          <w:ilvl w:val="0"/>
          <w:numId w:val="1006"/>
        </w:numPr>
      </w:pPr>
      <w:r>
        <w:t xml:space="preserve">Show:</w:t>
      </w:r>
      <w:r>
        <w:t xml:space="preserve"> </w:t>
      </w:r>
      <w:r>
        <w:rPr>
          <w:b/>
          <w:bCs/>
        </w:rPr>
        <w:t xml:space="preserve">clinic branding</w:t>
      </w:r>
      <w:r>
        <w:t xml:space="preserve">, generic line item (</w:t>
      </w:r>
      <w:r>
        <w:t xml:space="preserve">“Prescription Service”</w:t>
      </w:r>
      <w:r>
        <w:t xml:space="preserve"> </w:t>
      </w:r>
      <w:r>
        <w:t xml:space="preserve">— no medication name), $300 total</w:t>
      </w:r>
    </w:p>
    <w:p>
      <w:pPr>
        <w:pStyle w:val="Compact"/>
        <w:numPr>
          <w:ilvl w:val="0"/>
          <w:numId w:val="1006"/>
        </w:numPr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0"/>
          <w:numId w:val="1006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“Within 3–7 business days”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“No login, no app, no account. Tap a link, pay, done. Zero PHI on any screen — Stripe never sees the medication name.”</w:t>
      </w:r>
    </w:p>
    <w:p>
      <w:r>
        <w:pict>
          <v:rect style="width:0;height:1.5pt" o:hralign="center" o:hrstd="t" o:hr="t"/>
        </w:pict>
      </w:r>
    </w:p>
    <w:bookmarkEnd w:id="13"/>
    <w:bookmarkStart w:id="14" w:name="step-4-ops-dashboard-3-min"/>
    <w:p>
      <w:pPr>
        <w:pStyle w:val="Heading3"/>
      </w:pPr>
      <w:r>
        <w:t xml:space="preserve">Step 4 — Ops Dashboard (3 min)</w:t>
      </w:r>
    </w:p>
    <w:p>
      <w:pPr>
        <w:pStyle w:val="Compact"/>
        <w:numPr>
          <w:ilvl w:val="0"/>
          <w:numId w:val="1007"/>
        </w:numPr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pStyle w:val="Compact"/>
        <w:numPr>
          <w:ilvl w:val="0"/>
          <w:numId w:val="1007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pStyle w:val="Compact"/>
        <w:numPr>
          <w:ilvl w:val="0"/>
          <w:numId w:val="1007"/>
        </w:numPr>
      </w:pPr>
      <w:r>
        <w:t xml:space="preserve">Click into the order → show</w:t>
      </w:r>
      <w:r>
        <w:t xml:space="preserve"> </w:t>
      </w:r>
      <w:r>
        <w:rPr>
          <w:b/>
          <w:bCs/>
        </w:rPr>
        <w:t xml:space="preserve">Detail, History, Submissions, SLA tabs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“Every order across every clinic in one view. SLA enforcement runs automatically every 5 minutes. Circuit breakers protect against pharmacy API failures.”</w:t>
      </w:r>
    </w:p>
    <w:p>
      <w:r>
        <w:pict>
          <v:rect style="width:0;height:1.5pt" o:hralign="center" o:hrstd="t" o:hr="t"/>
        </w:pict>
      </w:r>
    </w:p>
    <w:bookmarkEnd w:id="14"/>
    <w:bookmarkStart w:id="15" w:name="step-5-security-demo-1-min"/>
    <w:p>
      <w:pPr>
        <w:pStyle w:val="Heading3"/>
      </w:pPr>
      <w:r>
        <w:t xml:space="preserve">Step 5 — Security Demo (1 min)</w:t>
      </w:r>
    </w:p>
    <w:p>
      <w:pPr>
        <w:pStyle w:val="Compact"/>
        <w:numPr>
          <w:ilvl w:val="0"/>
          <w:numId w:val="1008"/>
        </w:numPr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ops can’t see the clinic app</w:t>
      </w:r>
    </w:p>
    <w:p>
      <w:pPr>
        <w:pStyle w:val="Compact"/>
        <w:numPr>
          <w:ilvl w:val="0"/>
          <w:numId w:val="1008"/>
        </w:numPr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“Row-Level Security at the database level. Not just UI hiding — the data physically cannot cross boundaries.”</w:t>
      </w:r>
    </w:p>
    <w:p>
      <w:r>
        <w:pict>
          <v:rect style="width:0;height:1.5pt" o:hralign="center" o:hrstd="t" o:hr="t"/>
        </w:pict>
      </w:r>
    </w:p>
    <w:bookmarkEnd w:id="15"/>
    <w:bookmarkStart w:id="16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fax.”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2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Clinic</w:t>
            </w:r>
          </w:p>
        </w:tc>
        <w:tc>
          <w:tcPr/>
          <w:p>
            <w:pPr>
              <w:pStyle w:val="Compac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Medications</w:t>
            </w:r>
          </w:p>
        </w:tc>
        <w:tc>
          <w:tcPr/>
          <w:p>
            <w:pPr>
              <w:pStyle w:val="Compac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2026-04-15T14:08:41Z</dcterms:created>
  <dcterms:modified xsi:type="dcterms:W3CDTF">2026-04-15T14:08:41Z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