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ompoundiq-executive-overview"/>
    <w:p>
      <w:pPr>
        <w:pStyle w:val="Heading1"/>
      </w:pPr>
      <w:r>
        <w:t xml:space="preserve">CompoundIQ — Executive Overview</w:t>
      </w:r>
    </w:p>
    <w:p>
      <w:pPr>
        <w:pStyle w:val="FirstParagraph"/>
      </w:pPr>
      <w:r>
        <w:rPr>
          <w:b/>
          <w:bCs/>
        </w:rPr>
        <w:t xml:space="preserve">“Expedia for Compounding Pharmacies”</w:t>
      </w:r>
    </w:p>
    <w:p>
      <w:r>
        <w:pict>
          <v:rect style="width:0;height:1.5pt" o:hralign="center" o:hrstd="t" o:hr="t"/>
        </w:pict>
      </w:r>
    </w:p>
    <w:bookmarkStart w:id="9"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9"/>
    <w:bookmarkStart w:id="14"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10"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
          <w:bCs/>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10"/>
    <w:bookmarkStart w:id="11"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
          <w:bCs/>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11"/>
    <w:bookmarkStart w:id="12"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
          <w:bCs/>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12"/>
    <w:bookmarkStart w:id="13"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
          <w:bCs/>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13"/>
    <w:bookmarkEnd w:id="14"/>
    <w:bookmarkStart w:id="18" w:name="how-it-works-the-user-experience"/>
    <w:p>
      <w:pPr>
        <w:pStyle w:val="Heading2"/>
      </w:pPr>
      <w:r>
        <w:t xml:space="preserve">How It Works — The User Experience</w:t>
      </w:r>
    </w:p>
    <w:bookmarkStart w:id="15" w:name="Xe8192cabfc022709930c1795a57fd36814e8092"/>
    <w:p>
      <w:pPr>
        <w:pStyle w:val="Heading3"/>
      </w:pPr>
      <w:r>
        <w:t xml:space="preserve">For the Medical Assistant (30 seconds per prescription)</w:t>
      </w:r>
    </w:p>
    <w:p>
      <w:pPr>
        <w:pStyle w:val="Compact"/>
        <w:numPr>
          <w:ilvl w:val="0"/>
          <w:numId w:val="1001"/>
        </w:numPr>
      </w:pPr>
      <w:r>
        <w:rPr>
          <w:b/>
          <w:bCs/>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pStyle w:val="Compact"/>
        <w:numPr>
          <w:ilvl w:val="0"/>
          <w:numId w:val="1001"/>
        </w:numPr>
      </w:pPr>
      <w:r>
        <w:rPr>
          <w:b/>
          <w:bCs/>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pStyle w:val="Compact"/>
        <w:numPr>
          <w:ilvl w:val="0"/>
          <w:numId w:val="1001"/>
        </w:numPr>
      </w:pPr>
      <w:r>
        <w:rPr>
          <w:b/>
          <w:bCs/>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“Weight Loss Protocol”</w:t>
      </w:r>
      <w:r>
        <w:t xml:space="preserve"> </w:t>
      </w:r>
      <w:r>
        <w:t xml:space="preserve">adds Semaglutide + BPC-157 + Lipo-Mino in one click).</w:t>
      </w:r>
    </w:p>
    <w:p>
      <w:pPr>
        <w:pStyle w:val="Compact"/>
        <w:numPr>
          <w:ilvl w:val="0"/>
          <w:numId w:val="1001"/>
        </w:numPr>
      </w:pPr>
      <w:r>
        <w:rPr>
          <w:b/>
          <w:bCs/>
        </w:rPr>
        <w:t xml:space="preserve">Price</w:t>
      </w:r>
      <w:r>
        <w:t xml:space="preserve"> </w:t>
      </w:r>
      <w:r>
        <w:t xml:space="preserve">— Select a pharmacy (filtered by patient’s state), set the markup with one click. See the margin instantly.</w:t>
      </w:r>
    </w:p>
    <w:p>
      <w:pPr>
        <w:pStyle w:val="Compact"/>
        <w:numPr>
          <w:ilvl w:val="0"/>
          <w:numId w:val="1001"/>
        </w:numPr>
      </w:pPr>
      <w:r>
        <w:rPr>
          <w:b/>
          <w:bCs/>
        </w:rPr>
        <w:t xml:space="preserve">Add more or send</w:t>
      </w:r>
      <w:r>
        <w:t xml:space="preserve"> </w:t>
      </w:r>
      <w:r>
        <w:t xml:space="preserve">—</w:t>
      </w:r>
      <w:r>
        <w:t xml:space="preserve"> </w:t>
      </w:r>
      <w:r>
        <w:t xml:space="preserve">“Add &amp; Search Another”</w:t>
      </w:r>
      <w:r>
        <w:t xml:space="preserve"> </w:t>
      </w:r>
      <w:r>
        <w:t xml:space="preserve">to add more prescriptions for the same patient, or</w:t>
      </w:r>
      <w:r>
        <w:t xml:space="preserve"> </w:t>
      </w:r>
      <w:r>
        <w:t xml:space="preserve">“Review &amp; Send”</w:t>
      </w:r>
      <w:r>
        <w:t xml:space="preserve"> </w:t>
      </w:r>
      <w:r>
        <w:t xml:space="preserve">to batch review everything. For a 3-medication visit, this takes about 45 seconds total.</w:t>
      </w:r>
    </w:p>
    <w:p>
      <w:pPr>
        <w:pStyle w:val="Compact"/>
        <w:numPr>
          <w:ilvl w:val="0"/>
          <w:numId w:val="1001"/>
        </w:numPr>
      </w:pPr>
      <w:r>
        <w:rPr>
          <w:b/>
          <w:bCs/>
        </w:rPr>
        <w:t xml:space="preserve">Or save as draft</w:t>
      </w:r>
      <w:r>
        <w:t xml:space="preserve"> </w:t>
      </w:r>
      <w:r>
        <w:t xml:space="preserve">— If the provider isn’t available, the MA saves the prescription as a draft. The provider logs in later, reviews from the Drafts tab, and signs with one tap.</w:t>
      </w:r>
    </w:p>
    <w:p>
      <w:pPr>
        <w:pStyle w:val="Compact"/>
        <w:numPr>
          <w:ilvl w:val="0"/>
          <w:numId w:val="1001"/>
        </w:numPr>
      </w:pPr>
      <w:r>
        <w:rPr>
          <w:b/>
          <w:bCs/>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pStyle w:val="Compact"/>
        <w:numPr>
          <w:ilvl w:val="0"/>
          <w:numId w:val="1001"/>
        </w:numPr>
      </w:pPr>
      <w:r>
        <w:rPr>
          <w:b/>
          <w:bCs/>
        </w:rPr>
        <w:t xml:space="preserve">Done</w:t>
      </w:r>
      <w:r>
        <w:t xml:space="preserve"> </w:t>
      </w:r>
      <w:r>
        <w:t xml:space="preserve">— Payment links fire automatically. SMS reminders at 24 and 48 hours if the patient hasn’t paid. Auto-cancellation at 72 hours. No follow-up needed.</w:t>
      </w:r>
    </w:p>
    <w:bookmarkEnd w:id="15"/>
    <w:bookmarkStart w:id="16" w:name="for-the-patient-60-seconds"/>
    <w:p>
      <w:pPr>
        <w:pStyle w:val="Heading3"/>
      </w:pPr>
      <w:r>
        <w:t xml:space="preserve">For the Patient (60 seconds)</w:t>
      </w:r>
    </w:p>
    <w:p>
      <w:pPr>
        <w:pStyle w:val="Compact"/>
        <w:numPr>
          <w:ilvl w:val="0"/>
          <w:numId w:val="1002"/>
        </w:numPr>
      </w:pPr>
      <w:r>
        <w:rPr>
          <w:b/>
          <w:bCs/>
        </w:rPr>
        <w:t xml:space="preserve">Receive a text</w:t>
      </w:r>
      <w:r>
        <w:t xml:space="preserve"> </w:t>
      </w:r>
      <w:r>
        <w:t xml:space="preserve">—</w:t>
      </w:r>
      <w:r>
        <w:t xml:space="preserve"> </w:t>
      </w:r>
      <w:r>
        <w:t xml:space="preserve">“Hi Alex, Dr. Chen at Sunrise Functional Medicine has finalized your custom prescription. Tap here to pay.”</w:t>
      </w:r>
    </w:p>
    <w:p>
      <w:pPr>
        <w:pStyle w:val="Compact"/>
        <w:numPr>
          <w:ilvl w:val="0"/>
          <w:numId w:val="1002"/>
        </w:numPr>
      </w:pPr>
      <w:r>
        <w:rPr>
          <w:b/>
          <w:bCs/>
        </w:rPr>
        <w:t xml:space="preserve">Tap the link</w:t>
      </w:r>
      <w:r>
        <w:t xml:space="preserve"> </w:t>
      </w:r>
      <w:r>
        <w:t xml:space="preserve">— Opens in their phone’s browser. No app, no login.</w:t>
      </w:r>
    </w:p>
    <w:p>
      <w:pPr>
        <w:pStyle w:val="Compact"/>
        <w:numPr>
          <w:ilvl w:val="0"/>
          <w:numId w:val="1002"/>
        </w:numPr>
      </w:pPr>
      <w:r>
        <w:rPr>
          <w:b/>
          <w:bCs/>
        </w:rPr>
        <w:t xml:space="preserve">See the checkout</w:t>
      </w:r>
      <w:r>
        <w:t xml:space="preserve"> </w:t>
      </w:r>
      <w:r>
        <w:t xml:space="preserve">— Clinic name and logo.</w:t>
      </w:r>
      <w:r>
        <w:t xml:space="preserve"> </w:t>
      </w:r>
      <w:r>
        <w:t xml:space="preserve">“Prescription Service — $300.00.”</w:t>
      </w:r>
      <w:r>
        <w:t xml:space="preserve"> </w:t>
      </w:r>
      <w:r>
        <w:t xml:space="preserve">No medication details shown (privacy).</w:t>
      </w:r>
    </w:p>
    <w:p>
      <w:pPr>
        <w:pStyle w:val="Compact"/>
        <w:numPr>
          <w:ilvl w:val="0"/>
          <w:numId w:val="1002"/>
        </w:numPr>
      </w:pPr>
      <w:r>
        <w:rPr>
          <w:b/>
          <w:bCs/>
        </w:rPr>
        <w:t xml:space="preserve">Pay</w:t>
      </w:r>
      <w:r>
        <w:t xml:space="preserve"> </w:t>
      </w:r>
      <w:r>
        <w:t xml:space="preserve">— Apple Pay, Google Pay, or card. One tap.</w:t>
      </w:r>
    </w:p>
    <w:p>
      <w:pPr>
        <w:pStyle w:val="Compact"/>
        <w:numPr>
          <w:ilvl w:val="0"/>
          <w:numId w:val="1002"/>
        </w:numPr>
      </w:pPr>
      <w:r>
        <w:rPr>
          <w:b/>
          <w:bCs/>
        </w:rPr>
        <w:t xml:space="preserve">Confirmation</w:t>
      </w:r>
      <w:r>
        <w:t xml:space="preserve"> </w:t>
      </w:r>
      <w:r>
        <w:t xml:space="preserve">— Animated checkmark, order reference,</w:t>
      </w:r>
      <w:r>
        <w:t xml:space="preserve"> </w:t>
      </w:r>
      <w:r>
        <w:t xml:space="preserve">“Within 3–7 business days”</w:t>
      </w:r>
      <w:r>
        <w:t xml:space="preserve"> </w:t>
      </w:r>
      <w:r>
        <w:t xml:space="preserve">or</w:t>
      </w:r>
      <w:r>
        <w:t xml:space="preserve"> </w:t>
      </w:r>
      <w:r>
        <w:t xml:space="preserve">“Within 24–48 hours”</w:t>
      </w:r>
      <w:r>
        <w:t xml:space="preserve"> </w:t>
      </w:r>
      <w:r>
        <w:t xml:space="preserve">depending on the pharmacy.</w:t>
      </w:r>
    </w:p>
    <w:bookmarkEnd w:id="16"/>
    <w:bookmarkStart w:id="17" w:name="Xb5d400c8b64905dad1d5558b4525471f07b9d34"/>
    <w:p>
      <w:pPr>
        <w:pStyle w:val="Heading3"/>
      </w:pPr>
      <w:r>
        <w:t xml:space="preserve">For the Operations Team (Continuous Monitoring)</w:t>
      </w:r>
    </w:p>
    <w:p>
      <w:pPr>
        <w:pStyle w:val="Compact"/>
        <w:numPr>
          <w:ilvl w:val="0"/>
          <w:numId w:val="1003"/>
        </w:numPr>
      </w:pPr>
      <w:r>
        <w:rPr>
          <w:b/>
          <w:bCs/>
        </w:rPr>
        <w:t xml:space="preserve">Pipeline view</w:t>
      </w:r>
      <w:r>
        <w:t xml:space="preserve"> </w:t>
      </w:r>
      <w:r>
        <w:t xml:space="preserve">— See every order across every clinic in one dark-mode dashboard.</w:t>
      </w:r>
    </w:p>
    <w:p>
      <w:pPr>
        <w:pStyle w:val="Compact"/>
        <w:numPr>
          <w:ilvl w:val="0"/>
          <w:numId w:val="1003"/>
        </w:numPr>
      </w:pPr>
      <w:r>
        <w:rPr>
          <w:b/>
          <w:bCs/>
        </w:rPr>
        <w:t xml:space="preserve">SLA tracking</w:t>
      </w:r>
      <w:r>
        <w:t xml:space="preserve"> </w:t>
      </w:r>
      <w:r>
        <w:t xml:space="preserve">— Color-coded deadlines. Red means overdue. Automatic Slack alerts and escalation.</w:t>
      </w:r>
    </w:p>
    <w:p>
      <w:pPr>
        <w:pStyle w:val="Compact"/>
        <w:numPr>
          <w:ilvl w:val="0"/>
          <w:numId w:val="1003"/>
        </w:numPr>
      </w:pPr>
      <w:r>
        <w:rPr>
          <w:b/>
          <w:bCs/>
        </w:rPr>
        <w:t xml:space="preserve">Pharmacy health</w:t>
      </w:r>
      <w:r>
        <w:t xml:space="preserve"> </w:t>
      </w:r>
      <w:r>
        <w:t xml:space="preserve">— Monitor which pharmacy integrations are healthy, degraded, or down.</w:t>
      </w:r>
    </w:p>
    <w:p>
      <w:pPr>
        <w:pStyle w:val="Compact"/>
        <w:numPr>
          <w:ilvl w:val="0"/>
          <w:numId w:val="1003"/>
        </w:numPr>
      </w:pPr>
      <w:r>
        <w:rPr>
          <w:b/>
          <w:bCs/>
        </w:rPr>
        <w:t xml:space="preserve">Fax triage</w:t>
      </w:r>
      <w:r>
        <w:t xml:space="preserve"> </w:t>
      </w:r>
      <w:r>
        <w:t xml:space="preserve">— When pharmacies respond via fax, the ops team matches responses to orders.</w:t>
      </w:r>
    </w:p>
    <w:p>
      <w:pPr>
        <w:pStyle w:val="Compact"/>
        <w:numPr>
          <w:ilvl w:val="0"/>
          <w:numId w:val="1003"/>
        </w:numPr>
      </w:pPr>
      <w:r>
        <w:rPr>
          <w:b/>
          <w:bCs/>
        </w:rPr>
        <w:t xml:space="preserve">Catalog management</w:t>
      </w:r>
      <w:r>
        <w:t xml:space="preserve"> </w:t>
      </w:r>
      <w:r>
        <w:t xml:space="preserve">— Upload and manage pharmacy medication catalogs with version tracking.</w:t>
      </w:r>
    </w:p>
    <w:p>
      <w:r>
        <w:pict>
          <v:rect style="width:0;height:1.5pt" o:hralign="center" o:hrstd="t" o:hr="t"/>
        </w:pict>
      </w:r>
    </w:p>
    <w:bookmarkEnd w:id="17"/>
    <w:bookmarkEnd w:id="18"/>
    <w:bookmarkStart w:id="19"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
          <w:bCs/>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
          <w:iCs/>
        </w:rPr>
        <w:t xml:space="preserve">Pharmacies: ReviveRX, Vios, MediVera, LifeFile network (Empower, Belmar, UCP, Strive), Precision</w:t>
      </w:r>
    </w:p>
    <w:p>
      <w:pPr>
        <w:pStyle w:val="BodyText"/>
      </w:pPr>
      <w:r>
        <w:rPr>
          <w:b/>
          <w:bCs/>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
          <w:iCs/>
        </w:rPr>
        <w:t xml:space="preserve">Pharmacies: Olympia/DrScript, Wells/WellsPx3</w:t>
      </w:r>
    </w:p>
    <w:p>
      <w:pPr>
        <w:pStyle w:val="BodyText"/>
      </w:pPr>
      <w:r>
        <w:rPr>
          <w:b/>
          <w:bCs/>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
          <w:iCs/>
        </w:rPr>
        <w:t xml:space="preserve">Pharmacies: Future partners</w:t>
      </w:r>
    </w:p>
    <w:p>
      <w:pPr>
        <w:pStyle w:val="BodyText"/>
      </w:pPr>
      <w:r>
        <w:rPr>
          <w:b/>
          <w:bCs/>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
          <w:iCs/>
        </w:rPr>
        <w:t xml:space="preserve">Pharmacies: Any pharmacy not on Tier 1, 2, or 3</w:t>
      </w:r>
    </w:p>
    <w:p>
      <w:pPr>
        <w:pStyle w:val="BodyText"/>
      </w:pPr>
      <w:r>
        <w:rPr>
          <w:b/>
          <w:bCs/>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
          <w:bCs/>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19"/>
    <w:bookmarkStart w:id="20"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pStyle w:val="Compact"/>
        <w:numPr>
          <w:ilvl w:val="0"/>
          <w:numId w:val="1004"/>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04"/>
        </w:numPr>
      </w:pPr>
      <w:r>
        <w:t xml:space="preserve">The clinic sees the exact fee before they commit — full transparency</w:t>
      </w:r>
    </w:p>
    <w:p>
      <w:pPr>
        <w:pStyle w:val="Compact"/>
        <w:numPr>
          <w:ilvl w:val="0"/>
          <w:numId w:val="1004"/>
        </w:numPr>
      </w:pPr>
      <w:r>
        <w:t xml:space="preserve">Stripe processing fees (2.9% + $0.30) come out of the platform’s portion, not the clinic’s</w:t>
      </w:r>
    </w:p>
    <w:p>
      <w:pPr>
        <w:pStyle w:val="Compact"/>
        <w:numPr>
          <w:ilvl w:val="0"/>
          <w:numId w:val="1004"/>
        </w:numPr>
      </w:pPr>
      <w:r>
        <w:t xml:space="preserve">No subscription fees, no per-user fees — purely transaction-based</w:t>
      </w:r>
    </w:p>
    <w:p>
      <w:r>
        <w:pict>
          <v:rect style="width:0;height:1.5pt" o:hralign="center" o:hrstd="t" o:hr="t"/>
        </w:pict>
      </w:r>
    </w:p>
    <w:bookmarkEnd w:id="20"/>
    <w:bookmarkStart w:id="21"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
          <w:bCs/>
        </w:rPr>
        <w:t xml:space="preserve">Patient privacy is enforced by the system, not by trust:</w:t>
      </w:r>
      <w:r>
        <w:t xml:space="preserve"> </w:t>
      </w:r>
      <w:r>
        <w:t xml:space="preserve">- The patient checkout page never shows medication names — only</w:t>
      </w:r>
      <w:r>
        <w:t xml:space="preserve"> </w:t>
      </w:r>
      <w:r>
        <w:t xml:space="preserve">“Prescription Service”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
          <w:bCs/>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
          <w:bCs/>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21"/>
    <w:bookmarkStart w:id="22" w:name="the-competitive-landscape"/>
    <w:p>
      <w:pPr>
        <w:pStyle w:val="Heading2"/>
      </w:pPr>
      <w:r>
        <w:t xml:space="preserve">The Competitive Landscape</w:t>
      </w:r>
    </w:p>
    <w:tbl>
      <w:tblPr>
        <w:tblStyle w:val="Table"/>
        <w:tblW w:type="pct" w:w="5000"/>
        <w:tblLayout w:type="fixed"/>
        <w:tblLook w:firstRow="1" w:lastRow="0" w:firstColumn="0" w:lastColumn="0" w:noHBand="0" w:noVBand="0" w:val="0020"/>
      </w:tblPr>
      <w:tblGrid>
        <w:gridCol w:w="1885"/>
        <w:gridCol w:w="2451"/>
        <w:gridCol w:w="3582"/>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Rupa Health</w:t>
            </w:r>
          </w:p>
        </w:tc>
        <w:tc>
          <w:tcPr/>
          <w:p>
            <w:pPr>
              <w:pStyle w:val="Compact"/>
            </w:pPr>
            <w:r>
              <w:t xml:space="preserve">Lab test ordering for functional medicine</w:t>
            </w:r>
          </w:p>
        </w:tc>
        <w:tc>
          <w:tcPr/>
          <w:p>
            <w:pPr>
              <w:pStyle w:val="Compact"/>
            </w:pPr>
            <w:r>
              <w:t xml:space="preserve">No pharmacy fulfillment, no compounding</w:t>
            </w:r>
          </w:p>
        </w:tc>
      </w:tr>
      <w:tr>
        <w:tc>
          <w:tcPr/>
          <w:p>
            <w:pPr>
              <w:pStyle w:val="Compact"/>
            </w:pPr>
            <w:r>
              <w:rPr>
                <w:b/>
                <w:bCs/>
              </w:rPr>
              <w:t xml:space="preserve">PrescribeWellness</w:t>
            </w:r>
          </w:p>
        </w:tc>
        <w:tc>
          <w:tcPr/>
          <w:p>
            <w:pPr>
              <w:pStyle w:val="Compact"/>
            </w:pPr>
            <w:r>
              <w:t xml:space="preserve">Retail pharmacy adherence</w:t>
            </w:r>
          </w:p>
        </w:tc>
        <w:tc>
          <w:tcPr/>
          <w:p>
            <w:pPr>
              <w:pStyle w:val="Compact"/>
            </w:pPr>
            <w:r>
              <w:t xml:space="preserve">No compounding, no multi-pharmacy sourcing</w:t>
            </w:r>
          </w:p>
        </w:tc>
      </w:tr>
      <w:tr>
        <w:tc>
          <w:tcPr/>
          <w:p>
            <w:pPr>
              <w:pStyle w:val="Compact"/>
            </w:pPr>
            <w:r>
              <w:rPr>
                <w:b/>
                <w:bCs/>
              </w:rPr>
              <w:t xml:space="preserve">Pharmacy Portals</w:t>
            </w:r>
            <w:r>
              <w:t xml:space="preserve"> </w:t>
            </w:r>
            <w:r>
              <w:t xml:space="preserve">(DrScript, WellsPx3, LifeFile)</w:t>
            </w:r>
          </w:p>
        </w:tc>
        <w:tc>
          <w:tcPr/>
          <w:p>
            <w:pPr>
              <w:pStyle w:val="Compact"/>
            </w:pPr>
            <w:r>
              <w:t xml:space="preserve">Single-pharmacy ordering</w:t>
            </w:r>
          </w:p>
        </w:tc>
        <w:tc>
          <w:tcPr/>
          <w:p>
            <w:pPr>
              <w:pStyle w:val="Compact"/>
            </w:pPr>
            <w:r>
              <w:t xml:space="preserve">No cross-pharmacy comparison, no payment, no unified tracking</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w:t>
            </w:r>
          </w:p>
        </w:tc>
      </w:tr>
      <w:tr>
        <w:tc>
          <w:tcPr/>
          <w:p>
            <w:pPr>
              <w:pStyle w:val="Compact"/>
            </w:pPr>
            <w:r>
              <w:rPr>
                <w:b/>
                <w:bCs/>
              </w:rPr>
              <w:t xml:space="preserve">CompoundIQ</w:t>
            </w:r>
          </w:p>
        </w:tc>
        <w:tc>
          <w:tcPr/>
          <w:p>
            <w:pPr>
              <w:pStyle w:val="Compact"/>
            </w:pPr>
            <w:r>
              <w:t xml:space="preserve">End-to-end: search, price, pay, route, track, deliver</w:t>
            </w:r>
          </w:p>
        </w:tc>
        <w:tc>
          <w:tcPr/>
          <w:p>
            <w:pPr>
              <w:pStyle w:val="Compact"/>
            </w:pPr>
            <w:r>
              <w:t xml:space="preserve">—</w:t>
            </w:r>
          </w:p>
        </w:tc>
      </w:tr>
    </w:tbl>
    <w:p>
      <w:pPr>
        <w:pStyle w:val="BodyText"/>
      </w:pPr>
      <w:r>
        <w:rPr>
          <w:b/>
          <w:bCs/>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22"/>
    <w:bookmarkStart w:id="23" w:name="current-status"/>
    <w:p>
      <w:pPr>
        <w:pStyle w:val="Heading2"/>
      </w:pPr>
      <w:r>
        <w:t xml:space="preserve">Current Status</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t xml:space="preserve">19 phases, 86 work orders (81 completed, 5 backlog)</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Cascading prescription builder</w:t>
            </w:r>
          </w:p>
        </w:tc>
        <w:tc>
          <w:tcPr/>
          <w:p>
            <w:pPr>
              <w:pStyle w:val="Compact"/>
            </w:pPr>
            <w:r>
              <w:t xml:space="preserve">Hierarchical catalog, structured sig, titration/cycling</w:t>
            </w:r>
          </w:p>
        </w:tc>
      </w:tr>
      <w:tr>
        <w:tc>
          <w:tcPr/>
          <w:p>
            <w:pPr>
              <w:pStyle w:val="Compact"/>
            </w:pPr>
            <w:r>
              <w:t xml:space="preserve">Provider speed features</w:t>
            </w:r>
          </w:p>
        </w:tc>
        <w:tc>
          <w:tcPr/>
          <w:p>
            <w:pPr>
              <w:pStyle w:val="Compact"/>
            </w:pPr>
            <w:r>
              <w:t xml:space="preserve">Favorites (one-click reorder), protocol templates (multi-med bundles)</w:t>
            </w:r>
          </w:p>
        </w:tc>
      </w:tr>
      <w:tr>
        <w:tc>
          <w:tcPr/>
          <w:p>
            <w:pPr>
              <w:pStyle w:val="Compact"/>
            </w:pPr>
            <w:r>
              <w:t xml:space="preserve">Regulatory compliance</w:t>
            </w:r>
          </w:p>
        </w:tc>
        <w:tc>
          <w:tcPr/>
          <w:p>
            <w:pPr>
              <w:pStyle w:val="Compact"/>
            </w:pPr>
            <w:r>
              <w:t xml:space="preserve">EPCS 2FA for controlled substances, drug interaction alerts</w:t>
            </w:r>
          </w:p>
        </w:tc>
      </w:tr>
      <w:tr>
        <w:tc>
          <w:tcPr/>
          <w:p>
            <w:pPr>
              <w:pStyle w:val="Compact"/>
            </w:pPr>
            <w:r>
              <w:t xml:space="preserve">QA validated</w:t>
            </w:r>
          </w:p>
        </w:tc>
        <w:tc>
          <w:tcPr/>
          <w:p>
            <w:pPr>
              <w:pStyle w:val="Compact"/>
            </w:pPr>
            <w:r>
              <w:t xml:space="preserve">50+ automated test checks pass across all applications</w:t>
            </w:r>
          </w:p>
        </w:tc>
      </w:tr>
      <w:tr>
        <w:tc>
          <w:tcPr/>
          <w:p>
            <w:pPr>
              <w:pStyle w:val="Compact"/>
            </w:pPr>
            <w:r>
              <w:t xml:space="preserve">Externally tested</w:t>
            </w:r>
          </w:p>
        </w:tc>
        <w:tc>
          <w:tcPr/>
          <w:p>
            <w:pPr>
              <w:pStyle w:val="Compact"/>
            </w:pPr>
            <w:r>
              <w:t xml:space="preserve">Claude Cowork browser QA validated all phases</w:t>
            </w:r>
          </w:p>
        </w:tc>
      </w:tr>
      <w:tr>
        <w:tc>
          <w:tcPr/>
          <w:p>
            <w:pPr>
              <w:pStyle w:val="Compact"/>
            </w:pPr>
            <w:r>
              <w:t xml:space="preserve">Documentation</w:t>
            </w:r>
          </w:p>
        </w:tc>
        <w:tc>
          <w:tcPr/>
          <w:p>
            <w:pPr>
              <w:pStyle w:val="Compact"/>
            </w:pPr>
            <w:r>
              <w:t xml:space="preserve">60+ specification documents organized in software factory</w:t>
            </w:r>
          </w:p>
        </w:tc>
      </w:tr>
      <w:tr>
        <w:tc>
          <w:tcPr/>
          <w:p>
            <w:pPr>
              <w:pStyle w:val="Compact"/>
            </w:pPr>
            <w:r>
              <w:t xml:space="preserve">POC deployed</w:t>
            </w:r>
          </w:p>
        </w:tc>
        <w:tc>
          <w:tcPr/>
          <w:p>
            <w:pPr>
              <w:pStyle w:val="Compact"/>
            </w:pPr>
            <w:r>
              <w:t xml:space="preserve">Live on Vercel, accessible for demonstration</w:t>
            </w:r>
          </w:p>
        </w:tc>
      </w:tr>
      <w:tr>
        <w:tc>
          <w:tcPr/>
          <w:p>
            <w:pPr>
              <w:pStyle w:val="Compact"/>
            </w:pPr>
            <w:r>
              <w:t xml:space="preserve">Security audit</w:t>
            </w:r>
          </w:p>
        </w:tc>
        <w:tc>
          <w:tcPr/>
          <w:p>
            <w:pPr>
              <w:pStyle w:val="Compact"/>
            </w:pPr>
            <w:r>
              <w:t xml:space="preserve">AES-256 encrypted TOTP secrets, RLS on all tables</w:t>
            </w:r>
          </w:p>
        </w:tc>
      </w:tr>
    </w:tbl>
    <w:p>
      <w:r>
        <w:pict>
          <v:rect style="width:0;height:1.5pt" o:hralign="center" o:hrstd="t" o:hr="t"/>
        </w:pict>
      </w:r>
    </w:p>
    <w:bookmarkEnd w:id="23"/>
    <w:bookmarkStart w:id="24" w:name="whats-next"/>
    <w:p>
      <w:pPr>
        <w:pStyle w:val="Heading2"/>
      </w:pPr>
      <w:r>
        <w:t xml:space="preserve">What’s Next</w:t>
      </w:r>
    </w:p>
    <w:p>
      <w:pPr>
        <w:pStyle w:val="FirstParagraph"/>
      </w:pPr>
      <w:r>
        <w:rPr>
          <w:b/>
          <w:bCs/>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
          <w:bCs/>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
          <w:bCs/>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24"/>
    <w:bookmarkStart w:id="25" w:name="key-talking-points"/>
    <w:p>
      <w:pPr>
        <w:pStyle w:val="Heading2"/>
      </w:pPr>
      <w:r>
        <w:t xml:space="preserve">Key Talking Points</w:t>
      </w:r>
    </w:p>
    <w:p>
      <w:pPr>
        <w:pStyle w:val="FirstParagraph"/>
      </w:pPr>
      <w:r>
        <w:rPr>
          <w:b/>
          <w:bCs/>
        </w:rPr>
        <w:t xml:space="preserve">For investors:</w:t>
      </w:r>
      <w:r>
        <w:t xml:space="preserve"> </w:t>
      </w:r>
      <w:r>
        <w:t xml:space="preserve">&gt;</w:t>
      </w:r>
      <w:r>
        <w:t xml:space="preserve"> </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p>
    <w:p>
      <w:pPr>
        <w:pStyle w:val="BodyText"/>
      </w:pPr>
      <w:r>
        <w:rPr>
          <w:b/>
          <w:bCs/>
        </w:rPr>
        <w:t xml:space="preserve">For clinic partners:</w:t>
      </w:r>
      <w:r>
        <w:t xml:space="preserve"> </w:t>
      </w:r>
      <w:r>
        <w:t xml:space="preserve">&gt;</w:t>
      </w:r>
      <w:r>
        <w:t xml:space="preserve"> </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p>
    <w:p>
      <w:pPr>
        <w:pStyle w:val="BodyText"/>
      </w:pPr>
      <w:r>
        <w:rPr>
          <w:b/>
          <w:bCs/>
        </w:rPr>
        <w:t xml:space="preserve">For pharmacy partners:</w:t>
      </w:r>
      <w:r>
        <w:t xml:space="preserve"> </w:t>
      </w:r>
      <w:r>
        <w:t xml:space="preserve">&gt;</w:t>
      </w:r>
      <w:r>
        <w:t xml:space="preserve"> </w:t>
      </w:r>
      <w:r>
        <w:t xml:space="preserve">“You receive structured, error-free orders instead of handwritten faxes. Real-time status updates flow back to the clinic automatically. And our standardized API spec means you can integrate once and receive orders from every clinic on the platform.”</w:t>
      </w:r>
    </w:p>
    <w:p>
      <w:pPr>
        <w:pStyle w:val="BodyText"/>
      </w:pPr>
      <w:r>
        <w:rPr>
          <w:b/>
          <w:bCs/>
        </w:rPr>
        <w:t xml:space="preserve">For patients:</w:t>
      </w:r>
      <w:r>
        <w:t xml:space="preserve"> </w:t>
      </w:r>
      <w:r>
        <w:t xml:space="preserve">&gt;</w:t>
      </w:r>
      <w:r>
        <w:t xml:space="preserve"> </w:t>
      </w:r>
      <w:r>
        <w:t xml:space="preserve">“You get a text with a payment link. Tap, pay, done. Your prescription is on its way. You’ll get updates by text as it progresses.”</w:t>
      </w:r>
    </w:p>
    <w:p>
      <w:r>
        <w:pict>
          <v:rect style="width:0;height:1.5pt" o:hralign="center" o:hrstd="t" o:hr="t"/>
        </w:pict>
      </w:r>
    </w:p>
    <w:p>
      <w:pPr>
        <w:pStyle w:val="FirstParagraph"/>
      </w:pPr>
      <w:r>
        <w:rPr>
          <w:i/>
          <w:iCs/>
        </w:rPr>
        <w:t xml:space="preserve">CompoundIQ — Intelligent sourcing. Automated fulfillment. Transparent pricing.</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2026-04-17T15:39:15Z</dcterms:created>
  <dcterms:modified xsi:type="dcterms:W3CDTF">2026-04-17T15:39:15Z</dcterms:modified>
</cp:coreProperties>
</file>

<file path=docProps/custom.xml><?xml version="1.0" encoding="utf-8"?>
<Properties xmlns="http://schemas.openxmlformats.org/officeDocument/2006/custom-properties" xmlns:vt="http://schemas.openxmlformats.org/officeDocument/2006/docPropsVTypes"/>
</file>