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investment-strategy-memo"/>
    <w:p>
      <w:pPr>
        <w:pStyle w:val="Heading1"/>
      </w:pPr>
      <w:r>
        <w:t xml:space="preserve">INVESTMENT &amp; STRATEGY MEMO</w:t>
      </w:r>
    </w:p>
    <w:p>
      <w:pPr>
        <w:pStyle w:val="FirstParagraph"/>
      </w:pPr>
      <w:r>
        <w:rPr>
          <w:b/>
          <w:bCs/>
        </w:rPr>
        <w:t xml:space="preserve">Company:</w:t>
      </w:r>
      <w:r>
        <w:t xml:space="preserve"> </w:t>
      </w:r>
      <w:r>
        <w:t xml:space="preserve">CompoundIQ — Functional Medicine Infrastructure Platform</w:t>
      </w:r>
      <w:r>
        <w:t xml:space="preserve"> </w:t>
      </w:r>
      <w:r>
        <w:rPr>
          <w:b/>
          <w:bCs/>
        </w:rPr>
        <w:t xml:space="preserve">Document Type:</w:t>
      </w:r>
      <w:r>
        <w:t xml:space="preserve"> </w:t>
      </w:r>
      <w:r>
        <w:t xml:space="preserve">Venture Capital Stress-Test &amp; Go-To-Market Strategy</w:t>
      </w:r>
      <w:r>
        <w:t xml:space="preserve"> </w:t>
      </w:r>
      <w:r>
        <w:rPr>
          <w:b/>
          <w:bCs/>
        </w:rPr>
        <w:t xml:space="preserve">Prepared For:</w:t>
      </w:r>
      <w:r>
        <w:t xml:space="preserve"> </w:t>
      </w:r>
      <w:r>
        <w:t xml:space="preserve">Founding Team / Seed Investors</w:t>
      </w:r>
      <w:r>
        <w:t xml:space="preserve"> </w:t>
      </w:r>
      <w:r>
        <w:rPr>
          <w:b/>
          <w:bCs/>
        </w:rPr>
        <w:t xml:space="preserve">Last Updated:</w:t>
      </w:r>
      <w:r>
        <w:t xml:space="preserve"> </w:t>
      </w:r>
      <w:r>
        <w:t xml:space="preserve">April 13, 2026</w:t>
      </w:r>
      <w:r>
        <w:t xml:space="preserve"> </w:t>
      </w:r>
      <w:r>
        <w:rPr>
          <w:b/>
          <w:bCs/>
        </w:rPr>
        <w:t xml:space="preserve">Version:</w:t>
      </w:r>
      <w:r>
        <w:t xml:space="preserve"> </w:t>
      </w:r>
      <w:r>
        <w:t xml:space="preserve">3.0</w:t>
      </w:r>
    </w:p>
    <w:p>
      <w:r>
        <w:pict>
          <v:rect style="width:0;height:1.5pt" o:hralign="center" o:hrstd="t" o:hr="t"/>
        </w:pict>
      </w:r>
    </w:p>
    <w:bookmarkStart w:id="9"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“Compounding Pharmacy Intelligence Engine”</w:t>
      </w:r>
      <w:r>
        <w:t xml:space="preserve"> </w:t>
      </w:r>
      <w:r>
        <w:t xml:space="preserve">that handles the full lifecycle — search, price, pay, route, track, and deliver — in a single platform. Today the platform is</w:t>
      </w:r>
      <w:r>
        <w:t xml:space="preserve"> </w:t>
      </w:r>
      <w:r>
        <w:rPr>
          <w:b/>
          <w:bCs/>
        </w:rPr>
        <w:t xml:space="preserve">live in production</w:t>
      </w:r>
      <w:r>
        <w:t xml:space="preserve"> </w:t>
      </w:r>
      <w:r>
        <w:t xml:space="preserve">at https://functional-medicine-infrastructure.vercel.app, validated through 6 rounds of independent QA with zero remaining findings.</w:t>
      </w:r>
    </w:p>
    <w:p>
      <w:pPr>
        <w:pStyle w:val="BodyText"/>
      </w:pPr>
      <w:r>
        <w:rPr>
          <w:b/>
          <w:bCs/>
        </w:rPr>
        <w:t xml:space="preserve">The Tech Comparables (The Vision):</w:t>
      </w:r>
    </w:p>
    <w:p>
      <w:pPr>
        <w:pStyle w:val="Compact"/>
        <w:numPr>
          <w:ilvl w:val="0"/>
          <w:numId w:val="1001"/>
        </w:numPr>
      </w:pPr>
      <w:r>
        <w:rPr>
          <w:b/>
          <w:bCs/>
        </w:rPr>
        <w:t xml:space="preserve">“Bloomberg Terminal”</w:t>
      </w:r>
      <w:r>
        <w:t xml:space="preserve"> </w:t>
      </w:r>
      <w:r>
        <w:t xml:space="preserve">for functional prescriptions (centralized real-time intelligence layer).</w:t>
      </w:r>
    </w:p>
    <w:p>
      <w:pPr>
        <w:pStyle w:val="Compact"/>
        <w:numPr>
          <w:ilvl w:val="0"/>
          <w:numId w:val="1001"/>
        </w:numPr>
      </w:pPr>
      <w:r>
        <w:rPr>
          <w:b/>
          <w:bCs/>
        </w:rPr>
        <w:t xml:space="preserve">“Expedia”</w:t>
      </w:r>
      <w:r>
        <w:t xml:space="preserve"> </w:t>
      </w:r>
      <w:r>
        <w:t xml:space="preserve">for compounding pharmacies (compare, choose, route in one interface).</w:t>
      </w:r>
    </w:p>
    <w:p>
      <w:pPr>
        <w:pStyle w:val="Compact"/>
        <w:numPr>
          <w:ilvl w:val="0"/>
          <w:numId w:val="1001"/>
        </w:numPr>
      </w:pPr>
      <w:r>
        <w:rPr>
          <w:b/>
          <w:bCs/>
        </w:rPr>
        <w:t xml:space="preserve">“Stripe”</w:t>
      </w:r>
      <w:r>
        <w:t xml:space="preserve"> </w:t>
      </w:r>
      <w:r>
        <w:t xml:space="preserve">for cash-pay medicine (invisible B2B2C backend powering multi-party fulfillment).</w:t>
      </w:r>
    </w:p>
    <w:p>
      <w:pPr>
        <w:pStyle w:val="Compact"/>
        <w:numPr>
          <w:ilvl w:val="0"/>
          <w:numId w:val="1001"/>
        </w:numPr>
      </w:pPr>
      <w:r>
        <w:rPr>
          <w:b/>
          <w:bCs/>
        </w:rPr>
        <w:t xml:space="preserve">“Plaid”</w:t>
      </w:r>
      <w:r>
        <w:t xml:space="preserve"> </w:t>
      </w:r>
      <w:r>
        <w:t xml:space="preserve">for pharmacy &amp; peptide data (aggregating fragmented systems).</w:t>
      </w:r>
    </w:p>
    <w:p>
      <w:pPr>
        <w:pStyle w:val="Compact"/>
        <w:numPr>
          <w:ilvl w:val="0"/>
          <w:numId w:val="1001"/>
        </w:numPr>
      </w:pPr>
      <w:r>
        <w:rPr>
          <w:b/>
          <w:bCs/>
        </w:rPr>
        <w:t xml:space="preserve">“Shopify”</w:t>
      </w:r>
      <w:r>
        <w:t xml:space="preserve"> </w:t>
      </w:r>
      <w:r>
        <w:t xml:space="preserve">for clinics (giving independent providers enterprise-grade operational tools).</w:t>
      </w:r>
    </w:p>
    <w:p>
      <w:pPr>
        <w:pStyle w:val="Compact"/>
        <w:numPr>
          <w:ilvl w:val="0"/>
          <w:numId w:val="1001"/>
        </w:numPr>
      </w:pPr>
      <w:r>
        <w:rPr>
          <w:i/>
          <w:iCs/>
        </w:rPr>
        <w:t xml:space="preserve">The VC Shorthand:</w:t>
      </w:r>
      <w:r>
        <w:t xml:space="preserve"> </w:t>
      </w:r>
      <w:r>
        <w:t xml:space="preserve">“We are building Rupa Health, but for compounded medications instead of specialty labs.”</w:t>
      </w:r>
    </w:p>
    <w:p>
      <w:pPr>
        <w:pStyle w:val="FirstParagraph"/>
      </w:pPr>
      <w:r>
        <w:t xml:space="preserve">The core thesis:</w:t>
      </w:r>
      <w:r>
        <w:t xml:space="preserve"> </w:t>
      </w:r>
      <w:r>
        <w:rPr>
          <w:b/>
          <w:bCs/>
        </w:rPr>
        <w:t xml:space="preserve">Build the</w:t>
      </w:r>
      <w:r>
        <w:rPr>
          <w:b/>
          <w:bCs/>
        </w:rPr>
        <w:t xml:space="preserve"> </w:t>
      </w:r>
      <w:r>
        <w:rPr>
          <w:b/>
          <w:bCs/>
        </w:rPr>
        <w:t xml:space="preserve">“Expedia + Stripe”</w:t>
      </w:r>
      <w:r>
        <w:rPr>
          <w:b/>
          <w:bCs/>
        </w:rPr>
        <w:t xml:space="preserve"> </w:t>
      </w:r>
      <w:r>
        <w:rPr>
          <w:b/>
          <w:bCs/>
        </w:rPr>
        <w:t xml:space="preserve">for compounded medications.</w:t>
      </w:r>
    </w:p>
    <w:p>
      <w:r>
        <w:pict>
          <v:rect style="width:0;height:1.5pt" o:hralign="center" o:hrstd="t" o:hr="t"/>
        </w:pict>
      </w:r>
    </w:p>
    <w:bookmarkEnd w:id="9"/>
    <w:bookmarkStart w:id="13" w:name="market-opportunity"/>
    <w:p>
      <w:pPr>
        <w:pStyle w:val="Heading2"/>
      </w:pPr>
      <w:r>
        <w:t xml:space="preserve">2. Market Opportunity</w:t>
      </w:r>
    </w:p>
    <w:bookmarkStart w:id="10"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
          <w:bCs/>
        </w:rPr>
        <w:t xml:space="preserve">$13–15 billion annually</w:t>
      </w:r>
      <w:r>
        <w:t xml:space="preserve">, with the 503A (patient-specific) segment representing the majority of prescribing volume. Functional and integrative medicine is one of the fastest-growing cash-pay verticals, driven by:</w:t>
      </w:r>
    </w:p>
    <w:p>
      <w:pPr>
        <w:pStyle w:val="Compact"/>
        <w:numPr>
          <w:ilvl w:val="0"/>
          <w:numId w:val="1002"/>
        </w:numPr>
      </w:pPr>
      <w:r>
        <w:rPr>
          <w:b/>
          <w:bCs/>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pStyle w:val="Compact"/>
        <w:numPr>
          <w:ilvl w:val="0"/>
          <w:numId w:val="1002"/>
        </w:numPr>
      </w:pPr>
      <w:r>
        <w:rPr>
          <w:b/>
          <w:bCs/>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pStyle w:val="Compact"/>
        <w:numPr>
          <w:ilvl w:val="0"/>
          <w:numId w:val="1002"/>
        </w:numPr>
      </w:pPr>
      <w:r>
        <w:rPr>
          <w:b/>
          <w:bCs/>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pStyle w:val="Compact"/>
        <w:numPr>
          <w:ilvl w:val="0"/>
          <w:numId w:val="1002"/>
        </w:numPr>
      </w:pPr>
      <w:r>
        <w:rPr>
          <w:b/>
          <w:bCs/>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10"/>
    <w:bookmarkStart w:id="11"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pStyle w:val="Compact"/>
        <w:numPr>
          <w:ilvl w:val="0"/>
          <w:numId w:val="1003"/>
        </w:numPr>
      </w:pPr>
      <w:r>
        <w:t xml:space="preserve">No prior authorization bottleneck</w:t>
      </w:r>
    </w:p>
    <w:p>
      <w:pPr>
        <w:pStyle w:val="Compact"/>
        <w:numPr>
          <w:ilvl w:val="0"/>
          <w:numId w:val="1003"/>
        </w:numPr>
      </w:pPr>
      <w:r>
        <w:t xml:space="preserve">No claims adjudication delays</w:t>
      </w:r>
    </w:p>
    <w:p>
      <w:pPr>
        <w:pStyle w:val="Compact"/>
        <w:numPr>
          <w:ilvl w:val="0"/>
          <w:numId w:val="1003"/>
        </w:numPr>
      </w:pPr>
      <w:r>
        <w:t xml:space="preserve">No payer denials or clawbacks</w:t>
      </w:r>
    </w:p>
    <w:p>
      <w:pPr>
        <w:pStyle w:val="Compact"/>
        <w:numPr>
          <w:ilvl w:val="0"/>
          <w:numId w:val="1003"/>
        </w:numPr>
      </w:pPr>
      <w:r>
        <w:t xml:space="preserve">Direct patient payment with 100% collection rates on paid orders</w:t>
      </w:r>
    </w:p>
    <w:bookmarkEnd w:id="11"/>
    <w:bookmarkStart w:id="12" w:name="total-addressable-market-tam"/>
    <w:p>
      <w:pPr>
        <w:pStyle w:val="Heading3"/>
      </w:pPr>
      <w:r>
        <w:t xml:space="preserve">Total Addressable Market (TAM)</w:t>
      </w:r>
    </w:p>
    <w:p>
      <w:pPr>
        <w:pStyle w:val="Compact"/>
        <w:numPr>
          <w:ilvl w:val="0"/>
          <w:numId w:val="1004"/>
        </w:numPr>
      </w:pPr>
      <w:r>
        <w:rPr>
          <w:b/>
          <w:bCs/>
        </w:rPr>
        <w:t xml:space="preserve">~7,500+ compounding pharmacies</w:t>
      </w:r>
      <w:r>
        <w:t xml:space="preserve"> </w:t>
      </w:r>
      <w:r>
        <w:t xml:space="preserve">in the US (503A and 503B combined)</w:t>
      </w:r>
    </w:p>
    <w:p>
      <w:pPr>
        <w:pStyle w:val="Compact"/>
        <w:numPr>
          <w:ilvl w:val="0"/>
          <w:numId w:val="1004"/>
        </w:numPr>
      </w:pPr>
      <w:r>
        <w:rPr>
          <w:b/>
          <w:bCs/>
        </w:rPr>
        <w:t xml:space="preserve">~50,000+ functional/integrative medicine practitioners</w:t>
      </w:r>
      <w:r>
        <w:t xml:space="preserve"> </w:t>
      </w:r>
      <w:r>
        <w:t xml:space="preserve">actively prescribing compounded medications</w:t>
      </w:r>
    </w:p>
    <w:p>
      <w:pPr>
        <w:pStyle w:val="Compact"/>
        <w:numPr>
          <w:ilvl w:val="0"/>
          <w:numId w:val="1004"/>
        </w:numPr>
      </w:pPr>
      <w:r>
        <w:rPr>
          <w:b/>
          <w:bCs/>
        </w:rPr>
        <w:t xml:space="preserve">Average order value:</w:t>
      </w:r>
      <w:r>
        <w:t xml:space="preserve"> </w:t>
      </w:r>
      <w:r>
        <w:t xml:space="preserve">$150–$400 per prescription fill</w:t>
      </w:r>
    </w:p>
    <w:p>
      <w:pPr>
        <w:pStyle w:val="Compact"/>
        <w:numPr>
          <w:ilvl w:val="0"/>
          <w:numId w:val="1004"/>
        </w:numPr>
      </w:pPr>
      <w:r>
        <w:rPr>
          <w:b/>
          <w:bCs/>
        </w:rPr>
        <w:t xml:space="preserve">Average patient protocol:</w:t>
      </w:r>
      <w:r>
        <w:t xml:space="preserve"> </w:t>
      </w:r>
      <w:r>
        <w:t xml:space="preserve">2–7 compounded medications (real patient protocols show 7+ compounded meds simultaneously, with 12+ across multi-phase treatment plans)</w:t>
      </w:r>
    </w:p>
    <w:p>
      <w:pPr>
        <w:pStyle w:val="Compact"/>
        <w:numPr>
          <w:ilvl w:val="0"/>
          <w:numId w:val="1004"/>
        </w:numPr>
      </w:pPr>
      <w:r>
        <w:rPr>
          <w:b/>
          <w:bCs/>
        </w:rPr>
        <w:t xml:space="preserve">Platform fee opportunity:</w:t>
      </w:r>
      <w:r>
        <w:t xml:space="preserve"> </w:t>
      </w:r>
      <w:r>
        <w:t xml:space="preserve">15% of margin spread on every transaction</w:t>
      </w:r>
    </w:p>
    <w:p>
      <w:r>
        <w:pict>
          <v:rect style="width:0;height:1.5pt" o:hralign="center" o:hrstd="t" o:hr="t"/>
        </w:pict>
      </w:r>
    </w:p>
    <w:bookmarkEnd w:id="12"/>
    <w:bookmarkEnd w:id="13"/>
    <w:bookmarkStart w:id="17" w:name="product-what-weve-built"/>
    <w:p>
      <w:pPr>
        <w:pStyle w:val="Heading2"/>
      </w:pPr>
      <w:r>
        <w:t xml:space="preserve">3. Product — What We’ve Built</w:t>
      </w:r>
    </w:p>
    <w:bookmarkStart w:id="14"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Milestone</w:t>
            </w:r>
          </w:p>
        </w:tc>
        <w:tc>
          <w:tcPr/>
          <w:p>
            <w:pPr>
              <w:pStyle w:val="Compact"/>
            </w:pPr>
            <w:r>
              <w:t xml:space="preserve">Status</w:t>
            </w:r>
          </w:p>
        </w:tc>
      </w:tr>
      <w:tr>
        <w:tc>
          <w:tcPr/>
          <w:p>
            <w:pPr>
              <w:pStyle w:val="Compact"/>
            </w:pPr>
            <w:r>
              <w:t xml:space="preserve">Platform built</w:t>
            </w:r>
          </w:p>
        </w:tc>
        <w:tc>
          <w:tcPr/>
          <w:p>
            <w:pPr>
              <w:pStyle w:val="Compact"/>
            </w:pPr>
            <w:r>
              <w:rPr>
                <w:b/>
                <w:bCs/>
              </w:rPr>
              <w:t xml:space="preserve">19 phases, 86 work orders (81 completed, 5 in backlog)</w:t>
            </w:r>
          </w:p>
        </w:tc>
      </w:tr>
      <w:tr>
        <w:tc>
          <w:tcPr/>
          <w:p>
            <w:pPr>
              <w:pStyle w:val="Compact"/>
            </w:pPr>
            <w:r>
              <w:t xml:space="preserve">All 3 applications functional</w:t>
            </w:r>
          </w:p>
        </w:tc>
        <w:tc>
          <w:tcPr/>
          <w:p>
            <w:pPr>
              <w:pStyle w:val="Compact"/>
            </w:pPr>
            <w:r>
              <w:t xml:space="preserve">Clinic App, Ops Dashboard, Patient Checkout</w:t>
            </w:r>
          </w:p>
        </w:tc>
      </w:tr>
      <w:tr>
        <w:tc>
          <w:tcPr/>
          <w:p>
            <w:pPr>
              <w:pStyle w:val="Compact"/>
            </w:pPr>
            <w:r>
              <w:t xml:space="preserve">QA validated</w:t>
            </w:r>
          </w:p>
        </w:tc>
        <w:tc>
          <w:tcPr/>
          <w:p>
            <w:pPr>
              <w:pStyle w:val="Compact"/>
            </w:pPr>
            <w:r>
              <w:rPr>
                <w:b/>
                <w:bCs/>
              </w:rPr>
              <w:t xml:space="preserve">6 rounds of independent end-to-end QA — final round zero findings</w:t>
            </w:r>
          </w:p>
        </w:tc>
      </w:tr>
      <w:tr>
        <w:tc>
          <w:tcPr/>
          <w:p>
            <w:pPr>
              <w:pStyle w:val="Compact"/>
            </w:pPr>
            <w:r>
              <w:t xml:space="preserve">Externally tested</w:t>
            </w:r>
          </w:p>
        </w:tc>
        <w:tc>
          <w:tcPr/>
          <w:p>
            <w:pPr>
              <w:pStyle w:val="Compact"/>
            </w:pPr>
            <w:r>
              <w:t xml:space="preserve">Cowork agent validated all 7 demo doc parts against live app</w:t>
            </w:r>
          </w:p>
        </w:tc>
      </w:tr>
      <w:tr>
        <w:tc>
          <w:tcPr/>
          <w:p>
            <w:pPr>
              <w:pStyle w:val="Compact"/>
            </w:pPr>
            <w:r>
              <w:t xml:space="preserve">Documentation</w:t>
            </w:r>
          </w:p>
        </w:tc>
        <w:tc>
          <w:tcPr/>
          <w:p>
            <w:pPr>
              <w:pStyle w:val="Compact"/>
            </w:pPr>
            <w:r>
              <w:rPr>
                <w:b/>
                <w:bCs/>
              </w:rPr>
              <w:t xml:space="preserve">15+ specification documents in docs/ + 26 documents in software factory</w:t>
            </w:r>
          </w:p>
        </w:tc>
      </w:tr>
      <w:tr>
        <w:tc>
          <w:tcPr/>
          <w:p>
            <w:pPr>
              <w:pStyle w:val="Compact"/>
            </w:pPr>
            <w:r>
              <w:t xml:space="preserve">POC deployed</w:t>
            </w:r>
          </w:p>
        </w:tc>
        <w:tc>
          <w:tcPr/>
          <w:p>
            <w:pPr>
              <w:pStyle w:val="Compact"/>
            </w:pPr>
            <w:r>
              <w:t xml:space="preserve">Live on Vercel — functional-medicine-infrastructure.vercel.app</w:t>
            </w:r>
          </w:p>
        </w:tc>
      </w:tr>
      <w:tr>
        <w:tc>
          <w:tcPr/>
          <w:p>
            <w:pPr>
              <w:pStyle w:val="Compact"/>
            </w:pPr>
            <w:r>
              <w:t xml:space="preserve">Security audit</w:t>
            </w:r>
          </w:p>
        </w:tc>
        <w:tc>
          <w:tcPr/>
          <w:p>
            <w:pPr>
              <w:pStyle w:val="Compact"/>
            </w:pPr>
            <w:r>
              <w:t xml:space="preserve">All dependency vulnerabilities resolved (0 remaining)</w:t>
            </w:r>
          </w:p>
        </w:tc>
      </w:tr>
      <w:tr>
        <w:tc>
          <w:tcPr/>
          <w:p>
            <w:pPr>
              <w:pStyle w:val="Compact"/>
            </w:pPr>
            <w:r>
              <w:t xml:space="preserve">EPCS 2FA compliance</w:t>
            </w:r>
          </w:p>
        </w:tc>
        <w:tc>
          <w:tcPr/>
          <w:p>
            <w:pPr>
              <w:pStyle w:val="Compact"/>
            </w:pPr>
            <w:r>
              <w:rPr>
                <w:b/>
                <w:bCs/>
              </w:rPr>
              <w:t xml:space="preserve">DEA 21 CFR 1311 implemented — TOTP via otplib, AES-256-GCM</w:t>
            </w:r>
          </w:p>
        </w:tc>
      </w:tr>
      <w:tr>
        <w:tc>
          <w:tcPr/>
          <w:p>
            <w:pPr>
              <w:pStyle w:val="Compact"/>
            </w:pPr>
            <w:r>
              <w:t xml:space="preserve">Drug interaction system</w:t>
            </w:r>
          </w:p>
        </w:tc>
        <w:tc>
          <w:tcPr/>
          <w:p>
            <w:pPr>
              <w:pStyle w:val="Compact"/>
            </w:pPr>
            <w:r>
              <w:rPr>
                <w:b/>
                <w:bCs/>
              </w:rPr>
              <w:t xml:space="preserve">6 seeded interaction pairs with severity coding (info/warning/critical)</w:t>
            </w:r>
          </w:p>
        </w:tc>
      </w:tr>
      <w:tr>
        <w:tc>
          <w:tcPr/>
          <w:p>
            <w:pPr>
              <w:pStyle w:val="Compact"/>
            </w:pPr>
            <w:r>
              <w:t xml:space="preserve">Demo credential drift</w:t>
            </w:r>
          </w:p>
        </w:tc>
        <w:tc>
          <w:tcPr/>
          <w:p>
            <w:pPr>
              <w:pStyle w:val="Compact"/>
            </w:pPr>
            <w:r>
              <w:rPr>
                <w:b/>
                <w:bCs/>
              </w:rPr>
              <w:t xml:space="preserve">Eliminated — daily Vercel cron + in-app reset button at /ops/demo-tools</w:t>
            </w:r>
          </w:p>
        </w:tc>
      </w:tr>
      <w:tr>
        <w:tc>
          <w:tcPr/>
          <w:p>
            <w:pPr>
              <w:pStyle w:val="Compact"/>
            </w:pPr>
            <w:r>
              <w:t xml:space="preserve">Business action plan</w:t>
            </w:r>
          </w:p>
        </w:tc>
        <w:tc>
          <w:tcPr/>
          <w:p>
            <w:pPr>
              <w:pStyle w:val="Compact"/>
            </w:pPr>
            <w:r>
              <w:t xml:space="preserve">3 parallel execution tracks ready (LegitScript, Catalog Data, Compliance)</w:t>
            </w:r>
          </w:p>
        </w:tc>
      </w:tr>
    </w:tbl>
    <w:bookmarkEnd w:id="14"/>
    <w:bookmarkStart w:id="15" w:name="three-applications-one-codebase"/>
    <w:p>
      <w:pPr>
        <w:pStyle w:val="Heading3"/>
      </w:pPr>
      <w:r>
        <w:t xml:space="preserve">Three Applications, One Codebase</w:t>
      </w:r>
    </w:p>
    <w:tbl>
      <w:tblPr>
        <w:tblStyle w:val="Table"/>
        <w:tblW w:type="pct" w:w="5000"/>
        <w:tblLayout w:type="fixed"/>
        <w:tblLook w:firstRow="1" w:lastRow="0" w:firstColumn="0" w:lastColumn="0" w:noHBand="0" w:noVBand="0" w:val="0020"/>
      </w:tblPr>
      <w:tblGrid>
        <w:gridCol w:w="3550"/>
        <w:gridCol w:w="1911"/>
        <w:gridCol w:w="2457"/>
      </w:tblGrid>
      <w:tr>
        <w:trPr>
          <w:tblHeader w:val="on"/>
        </w:trPr>
        <w:tc>
          <w:tcPr/>
          <w:p>
            <w:pPr>
              <w:pStyle w:val="Compact"/>
            </w:pPr>
            <w:r>
              <w:t xml:space="preserve">Application</w:t>
            </w:r>
          </w:p>
        </w:tc>
        <w:tc>
          <w:tcPr/>
          <w:p>
            <w:pPr>
              <w:pStyle w:val="Compact"/>
            </w:pPr>
            <w:r>
              <w:t xml:space="preserve">Users</w:t>
            </w:r>
          </w:p>
        </w:tc>
        <w:tc>
          <w:tcPr/>
          <w:p>
            <w:pPr>
              <w:pStyle w:val="Compact"/>
            </w:pPr>
            <w:r>
              <w:t xml:space="preserve">Purpose</w:t>
            </w:r>
          </w:p>
        </w:tc>
      </w:tr>
      <w:tr>
        <w:tc>
          <w:tcPr/>
          <w:p>
            <w:pPr>
              <w:pStyle w:val="Compact"/>
            </w:pPr>
            <w:r>
              <w:rPr>
                <w:b/>
                <w:bCs/>
              </w:rPr>
              <w:t xml:space="preserve">Clinic App</w:t>
            </w:r>
            <w:r>
              <w:t xml:space="preserve"> </w:t>
            </w:r>
            <w:r>
              <w:t xml:space="preserve">(Light mode, Desktop)</w:t>
            </w:r>
          </w:p>
        </w:tc>
        <w:tc>
          <w:tcPr/>
          <w:p>
            <w:pPr>
              <w:pStyle w:val="Compact"/>
            </w:pPr>
            <w:r>
              <w:t xml:space="preserve">Medical Assistants, Providers, Clinic Admins</w:t>
            </w:r>
          </w:p>
        </w:tc>
        <w:tc>
          <w:tcPr/>
          <w:p>
            <w:pPr>
              <w:pStyle w:val="Compact"/>
            </w:pPr>
            <w:r>
              <w:t xml:space="preserve">Search pharmacies, price medications, set margins, send payment links, sign prescriptions, manage drafts, browse favorites + protocols, run cascading prescription builder</w:t>
            </w:r>
          </w:p>
        </w:tc>
      </w:tr>
      <w:tr>
        <w:tc>
          <w:tcPr/>
          <w:p>
            <w:pPr>
              <w:pStyle w:val="Compact"/>
            </w:pPr>
            <w:r>
              <w:rPr>
                <w:b/>
                <w:bCs/>
              </w:rPr>
              <w:t xml:space="preserve">Ops Dashboard</w:t>
            </w:r>
            <w:r>
              <w:t xml:space="preserve"> </w:t>
            </w:r>
            <w:r>
              <w:t xml:space="preserve">(Dark mode, Desktop)</w:t>
            </w:r>
          </w:p>
        </w:tc>
        <w:tc>
          <w:tcPr/>
          <w:p>
            <w:pPr>
              <w:pStyle w:val="Compact"/>
            </w:pPr>
            <w:r>
              <w:t xml:space="preserve">Internal operations team</w:t>
            </w:r>
          </w:p>
        </w:tc>
        <w:tc>
          <w:tcPr/>
          <w:p>
            <w:pPr>
              <w:pStyle w:val="Compact"/>
            </w:pPr>
            <w:r>
              <w:t xml:space="preserve">Pipeline monitoring, SLA tracking, pharmacy health, fax triage, catalog management, demo tools</w:t>
            </w:r>
          </w:p>
        </w:tc>
      </w:tr>
      <w:tr>
        <w:tc>
          <w:tcPr/>
          <w:p>
            <w:pPr>
              <w:pStyle w:val="Compact"/>
            </w:pPr>
            <w:r>
              <w:rPr>
                <w:b/>
                <w:bCs/>
              </w:rPr>
              <w:t xml:space="preserve">Patient Checkout</w:t>
            </w:r>
            <w:r>
              <w:t xml:space="preserve"> </w:t>
            </w:r>
            <w:r>
              <w:t xml:space="preserve">(Mobile-first, 320–428px)</w:t>
            </w:r>
          </w:p>
        </w:tc>
        <w:tc>
          <w:tcPr/>
          <w:p>
            <w:pPr>
              <w:pStyle w:val="Compact"/>
            </w:pPr>
            <w:r>
              <w:t xml:space="preserve">Patients (guest, no login)</w:t>
            </w:r>
          </w:p>
        </w:tc>
        <w:tc>
          <w:tcPr/>
          <w:p>
            <w:pPr>
              <w:pStyle w:val="Compact"/>
            </w:pPr>
            <w:r>
              <w:t xml:space="preserve">SMS checkout link, clinic-branded payment page, Apple Pay / Google Pay / card, zero medication details shown (HIPAA)</w:t>
            </w:r>
          </w:p>
        </w:tc>
      </w:tr>
    </w:tbl>
    <w:bookmarkEnd w:id="15"/>
    <w:bookmarkStart w:id="16" w:name="the-user-experience"/>
    <w:p>
      <w:pPr>
        <w:pStyle w:val="Heading3"/>
      </w:pPr>
      <w:r>
        <w:t xml:space="preserve">The User Experience</w:t>
      </w:r>
    </w:p>
    <w:p>
      <w:pPr>
        <w:pStyle w:val="FirstParagraph"/>
      </w:pPr>
      <w:r>
        <w:rPr>
          <w:b/>
          <w:bCs/>
        </w:rPr>
        <w:t xml:space="preserve">For the Medical Assistant (30 seconds per prescription):</w:t>
      </w:r>
    </w:p>
    <w:p>
      <w:pPr>
        <w:pStyle w:val="Compact"/>
        <w:numPr>
          <w:ilvl w:val="0"/>
          <w:numId w:val="1005"/>
        </w:numPr>
      </w:pPr>
      <w:r>
        <w:t xml:space="preserve">Select patient &amp; provider — patient shipping state auto-fills</w:t>
      </w:r>
    </w:p>
    <w:p>
      <w:pPr>
        <w:pStyle w:val="Compact"/>
        <w:numPr>
          <w:ilvl w:val="0"/>
          <w:numId w:val="1005"/>
        </w:numPr>
      </w:pPr>
      <w:r>
        <w:t xml:space="preserve">Use</w:t>
      </w:r>
      <w:r>
        <w:t xml:space="preserve"> </w:t>
      </w:r>
      <w:r>
        <w:rPr>
          <w:b/>
          <w:bCs/>
        </w:rPr>
        <w:t xml:space="preserve">cascading prescription builder</w:t>
      </w:r>
      <w:r>
        <w:t xml:space="preserve"> </w:t>
      </w:r>
      <w:r>
        <w:t xml:space="preserve">(V3.0 hierarchical catalog): medication → salt form → formulation → dose/frequency → pharmacy</w:t>
      </w:r>
    </w:p>
    <w:p>
      <w:pPr>
        <w:pStyle w:val="Compact"/>
        <w:numPr>
          <w:ilvl w:val="0"/>
          <w:numId w:val="1005"/>
        </w:numPr>
      </w:pPr>
      <w:r>
        <w:rPr>
          <w:b/>
          <w:bCs/>
        </w:rPr>
        <w:t xml:space="preserve">OR</w:t>
      </w:r>
      <w:r>
        <w:t xml:space="preserve"> </w:t>
      </w:r>
      <w:r>
        <w:t xml:space="preserve">click a Provider Favorite for one-click reorder,</w:t>
      </w:r>
      <w:r>
        <w:t xml:space="preserve"> </w:t>
      </w:r>
      <w:r>
        <w:rPr>
          <w:b/>
          <w:bCs/>
        </w:rPr>
        <w:t xml:space="preserve">OR</w:t>
      </w:r>
      <w:r>
        <w:t xml:space="preserve"> </w:t>
      </w:r>
      <w:r>
        <w:t xml:space="preserve">load a clinic Protocol Template (multi-medication bundle)</w:t>
      </w:r>
    </w:p>
    <w:p>
      <w:pPr>
        <w:pStyle w:val="Compact"/>
        <w:numPr>
          <w:ilvl w:val="0"/>
          <w:numId w:val="1005"/>
        </w:numPr>
      </w:pPr>
      <w:r>
        <w:t xml:space="preserve">Set retail price using one-click margin multipliers (1.5x, 2x, 2.5x, 3x) — see wholesale cost (locked), platform fee, and est. clinic margin in real time. Default markup pre-fills retail price.</w:t>
      </w:r>
    </w:p>
    <w:p>
      <w:pPr>
        <w:pStyle w:val="Compact"/>
        <w:numPr>
          <w:ilvl w:val="0"/>
          <w:numId w:val="1005"/>
        </w:numPr>
      </w:pPr>
      <w:r>
        <w:rPr>
          <w:b/>
          <w:bCs/>
        </w:rPr>
        <w:t xml:space="preserve">Add &amp; Search Another</w:t>
      </w:r>
      <w:r>
        <w:t xml:space="preserve"> </w:t>
      </w:r>
      <w:r>
        <w:t xml:space="preserve">for multi-medication sessions, or</w:t>
      </w:r>
      <w:r>
        <w:t xml:space="preserve"> </w:t>
      </w:r>
      <w:r>
        <w:rPr>
          <w:b/>
          <w:bCs/>
        </w:rPr>
        <w:t xml:space="preserve">Review &amp; Send</w:t>
      </w:r>
      <w:r>
        <w:t xml:space="preserve"> </w:t>
      </w:r>
      <w:r>
        <w:t xml:space="preserve">to batch all prescriptions</w:t>
      </w:r>
    </w:p>
    <w:p>
      <w:pPr>
        <w:pStyle w:val="Compact"/>
        <w:numPr>
          <w:ilvl w:val="0"/>
          <w:numId w:val="1005"/>
        </w:numPr>
      </w:pPr>
      <w:r>
        <w:t xml:space="preserve">Provider signs once — single signature covers all prescriptions in the session</w:t>
      </w:r>
    </w:p>
    <w:p>
      <w:pPr>
        <w:pStyle w:val="Compact"/>
        <w:numPr>
          <w:ilvl w:val="0"/>
          <w:numId w:val="1005"/>
        </w:numPr>
      </w:pPr>
      <w:r>
        <w:t xml:space="preserve">For controlled substances: EPCS 2FA modal triggers automatically (QR code, 6-digit TOTP, DEA 21 CFR 1311 compliance)</w:t>
      </w:r>
    </w:p>
    <w:p>
      <w:pPr>
        <w:pStyle w:val="Compact"/>
        <w:numPr>
          <w:ilvl w:val="0"/>
          <w:numId w:val="1005"/>
        </w:numPr>
      </w:pPr>
      <w:r>
        <w:t xml:space="preserve">Payment link fires automatically via SMS</w:t>
      </w:r>
    </w:p>
    <w:p>
      <w:pPr>
        <w:pStyle w:val="FirstParagraph"/>
      </w:pPr>
      <w:r>
        <w:rPr>
          <w:b/>
          <w:bCs/>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
          <w:bCs/>
        </w:rPr>
        <w:t xml:space="preserve">For the Patient (60 seconds):</w:t>
      </w:r>
    </w:p>
    <w:p>
      <w:pPr>
        <w:pStyle w:val="Compact"/>
        <w:numPr>
          <w:ilvl w:val="0"/>
          <w:numId w:val="1006"/>
        </w:numPr>
      </w:pPr>
      <w:r>
        <w:t xml:space="preserve">Receive a text:</w:t>
      </w:r>
      <w:r>
        <w:t xml:space="preserve"> </w:t>
      </w:r>
      <w:r>
        <w:t xml:space="preserve">“Hi Alex, Dr. Chen at Sunrise Functional Medicine has finalized your custom prescription. Tap here to pay.”</w:t>
      </w:r>
    </w:p>
    <w:p>
      <w:pPr>
        <w:pStyle w:val="Compact"/>
        <w:numPr>
          <w:ilvl w:val="0"/>
          <w:numId w:val="1006"/>
        </w:numPr>
      </w:pPr>
      <w:r>
        <w:t xml:space="preserve">Tap the link — opens in phone’s browser. No app, no login, no account.</w:t>
      </w:r>
    </w:p>
    <w:p>
      <w:pPr>
        <w:pStyle w:val="Compact"/>
        <w:numPr>
          <w:ilvl w:val="0"/>
          <w:numId w:val="1006"/>
        </w:numPr>
      </w:pPr>
      <w:r>
        <w:t xml:space="preserve">Clinic-branded checkout:</w:t>
      </w:r>
      <w:r>
        <w:t xml:space="preserve"> </w:t>
      </w:r>
      <w:r>
        <w:t xml:space="preserve">“Prescription Service — $300.00.”</w:t>
      </w:r>
      <w:r>
        <w:t xml:space="preserve"> </w:t>
      </w:r>
      <w:r>
        <w:t xml:space="preserve">No medication details (HIPAA).</w:t>
      </w:r>
    </w:p>
    <w:p>
      <w:pPr>
        <w:pStyle w:val="Compact"/>
        <w:numPr>
          <w:ilvl w:val="0"/>
          <w:numId w:val="1006"/>
        </w:numPr>
      </w:pPr>
      <w:r>
        <w:t xml:space="preserve">Pay with Apple Pay, Google Pay, or card. One tap.</w:t>
      </w:r>
    </w:p>
    <w:p>
      <w:pPr>
        <w:pStyle w:val="Compact"/>
        <w:numPr>
          <w:ilvl w:val="0"/>
          <w:numId w:val="1006"/>
        </w:numPr>
      </w:pPr>
      <w:r>
        <w:t xml:space="preserve">Confirmation with delivery timeline based on pharmacy tier.</w:t>
      </w:r>
    </w:p>
    <w:p>
      <w:pPr>
        <w:pStyle w:val="FirstParagraph"/>
      </w:pPr>
      <w:r>
        <w:rPr>
          <w:b/>
          <w:bCs/>
        </w:rPr>
        <w:t xml:space="preserve">For the Operations Team:</w:t>
      </w:r>
    </w:p>
    <w:p>
      <w:pPr>
        <w:pStyle w:val="Compact"/>
        <w:numPr>
          <w:ilvl w:val="0"/>
          <w:numId w:val="1007"/>
        </w:numPr>
      </w:pPr>
      <w:r>
        <w:t xml:space="preserve">Pipeline view of every order across every clinic — columns: Order, Status, Clinic, Pharmacy / Tier, SLA, Assigned, Actions</w:t>
      </w:r>
    </w:p>
    <w:p>
      <w:pPr>
        <w:pStyle w:val="Compact"/>
        <w:numPr>
          <w:ilvl w:val="0"/>
          <w:numId w:val="1007"/>
        </w:numPr>
      </w:pPr>
      <w:r>
        <w:t xml:space="preserve">Color-coded SLA deadlines with automatic Slack/PagerDuty escalation</w:t>
      </w:r>
    </w:p>
    <w:p>
      <w:pPr>
        <w:pStyle w:val="Compact"/>
        <w:numPr>
          <w:ilvl w:val="0"/>
          <w:numId w:val="1007"/>
        </w:numPr>
      </w:pPr>
      <w:r>
        <w:t xml:space="preserve">Pharmacy health monitoring with circuit breaker status</w:t>
      </w:r>
    </w:p>
    <w:p>
      <w:pPr>
        <w:pStyle w:val="Compact"/>
        <w:numPr>
          <w:ilvl w:val="0"/>
          <w:numId w:val="1007"/>
        </w:numPr>
      </w:pPr>
      <w:r>
        <w:t xml:space="preserve">Inbound fax triage queue</w:t>
      </w:r>
    </w:p>
    <w:p>
      <w:pPr>
        <w:pStyle w:val="Compact"/>
        <w:numPr>
          <w:ilvl w:val="0"/>
          <w:numId w:val="1007"/>
        </w:numPr>
      </w:pPr>
      <w:r>
        <w:t xml:space="preserve">Catalog management with version tracking and CSV upload</w:t>
      </w:r>
    </w:p>
    <w:p>
      <w:pPr>
        <w:pStyle w:val="Compact"/>
        <w:numPr>
          <w:ilvl w:val="0"/>
          <w:numId w:val="1007"/>
        </w:numPr>
      </w:pPr>
      <w:r>
        <w:rPr>
          <w:b/>
          <w:bCs/>
        </w:rPr>
        <w:t xml:space="preserve">Demo Tools page</w:t>
      </w:r>
      <w:r>
        <w:t xml:space="preserve"> </w:t>
      </w:r>
      <w:r>
        <w:t xml:space="preserve">— self-service</w:t>
      </w:r>
      <w:r>
        <w:t xml:space="preserve"> </w:t>
      </w:r>
      <w:r>
        <w:t xml:space="preserve">“Reset Demo Credentials”</w:t>
      </w:r>
      <w:r>
        <w:t xml:space="preserve"> </w:t>
      </w:r>
      <w:r>
        <w:t xml:space="preserve">button + recovery instructions</w:t>
      </w:r>
    </w:p>
    <w:p>
      <w:r>
        <w:pict>
          <v:rect style="width:0;height:1.5pt" o:hralign="center" o:hrstd="t" o:hr="t"/>
        </w:pict>
      </w:r>
    </w:p>
    <w:bookmarkEnd w:id="16"/>
    <w:bookmarkEnd w:id="17"/>
    <w:bookmarkStart w:id="23" w:name="core-technical-architecture"/>
    <w:p>
      <w:pPr>
        <w:pStyle w:val="Heading2"/>
      </w:pPr>
      <w:r>
        <w:t xml:space="preserve">4. Core Technical Architecture</w:t>
      </w:r>
    </w:p>
    <w:bookmarkStart w:id="18" w:name="technology-stack"/>
    <w:p>
      <w:pPr>
        <w:pStyle w:val="Heading3"/>
      </w:pPr>
      <w:r>
        <w:t xml:space="preserve">Technology Stack</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Frontend</w:t>
            </w:r>
          </w:p>
        </w:tc>
        <w:tc>
          <w:tcPr/>
          <w:p>
            <w:pPr>
              <w:pStyle w:val="Compact"/>
            </w:pPr>
            <w:r>
              <w:t xml:space="preserve">Next.js 16 (App Router), React 19, Tailwind CSS + Shadcn/UI</w:t>
            </w:r>
          </w:p>
        </w:tc>
      </w:tr>
      <w:tr>
        <w:tc>
          <w:tcPr/>
          <w:p>
            <w:pPr>
              <w:pStyle w:val="Compact"/>
            </w:pPr>
            <w:r>
              <w:t xml:space="preserve">Backend / Database</w:t>
            </w:r>
          </w:p>
        </w:tc>
        <w:tc>
          <w:tcPr/>
          <w:p>
            <w:pPr>
              <w:pStyle w:val="Compact"/>
            </w:pPr>
            <w:r>
              <w:t xml:space="preserve">Supabase (PostgreSQL 15+),</w:t>
            </w:r>
            <w:r>
              <w:t xml:space="preserve"> </w:t>
            </w:r>
            <w:r>
              <w:rPr>
                <w:b/>
                <w:bCs/>
              </w:rPr>
              <w:t xml:space="preserve">33 tables + 1 view, 10 enums, RLS on ALL tables</w:t>
            </w:r>
          </w:p>
        </w:tc>
      </w:tr>
      <w:tr>
        <w:tc>
          <w:tcPr/>
          <w:p>
            <w:pPr>
              <w:pStyle w:val="Compact"/>
            </w:pPr>
            <w:r>
              <w:t xml:space="preserve">Authentication</w:t>
            </w:r>
          </w:p>
        </w:tc>
        <w:tc>
          <w:tcPr/>
          <w:p>
            <w:pPr>
              <w:pStyle w:val="Compact"/>
            </w:pPr>
            <w:r>
              <w:t xml:space="preserve">Supabase Auth + JWT with custom claims (app_role, clinic_id)</w:t>
            </w:r>
          </w:p>
        </w:tc>
      </w:tr>
      <w:tr>
        <w:tc>
          <w:tcPr/>
          <w:p>
            <w:pPr>
              <w:pStyle w:val="Compact"/>
            </w:pPr>
            <w:r>
              <w:t xml:space="preserve">Payments</w:t>
            </w:r>
          </w:p>
        </w:tc>
        <w:tc>
          <w:tcPr/>
          <w:p>
            <w:pPr>
              <w:pStyle w:val="Compact"/>
            </w:pPr>
            <w:r>
              <w:t xml:space="preserve">Stripe Connect Express — multi-party split (patient → clinic payout + platform fee)</w:t>
            </w:r>
          </w:p>
        </w:tc>
      </w:tr>
      <w:tr>
        <w:tc>
          <w:tcPr/>
          <w:p>
            <w:pPr>
              <w:pStyle w:val="Compact"/>
            </w:pPr>
            <w:r>
              <w:t xml:space="preserve">Fax</w:t>
            </w:r>
          </w:p>
        </w:tc>
        <w:tc>
          <w:tcPr/>
          <w:p>
            <w:pPr>
              <w:pStyle w:val="Compact"/>
            </w:pPr>
            <w:r>
              <w:t xml:space="preserve">Documo mFax REST API (HIPAA-compliant, Tier 4 fallback)</w:t>
            </w:r>
          </w:p>
        </w:tc>
      </w:tr>
      <w:tr>
        <w:tc>
          <w:tcPr/>
          <w:p>
            <w:pPr>
              <w:pStyle w:val="Compact"/>
            </w:pPr>
            <w:r>
              <w:t xml:space="preserve">SMS</w:t>
            </w:r>
          </w:p>
        </w:tc>
        <w:tc>
          <w:tcPr/>
          <w:p>
            <w:pPr>
              <w:pStyle w:val="Compact"/>
            </w:pPr>
            <w:r>
              <w:t xml:space="preserve">Twilio Programmable Messaging (delivery tracking, opt-out handling)</w:t>
            </w:r>
          </w:p>
        </w:tc>
      </w:tr>
      <w:tr>
        <w:tc>
          <w:tcPr/>
          <w:p>
            <w:pPr>
              <w:pStyle w:val="Compact"/>
            </w:pPr>
            <w:r>
              <w:t xml:space="preserve">Portal Automation</w:t>
            </w:r>
          </w:p>
        </w:tc>
        <w:tc>
          <w:tcPr/>
          <w:p>
            <w:pPr>
              <w:pStyle w:val="Compact"/>
            </w:pPr>
            <w:r>
              <w:t xml:space="preserve">Playwright (headless browser for Tier 2 pharmacy portals)</w:t>
            </w:r>
          </w:p>
        </w:tc>
      </w:tr>
      <w:tr>
        <w:tc>
          <w:tcPr/>
          <w:p>
            <w:pPr>
              <w:pStyle w:val="Compact"/>
            </w:pPr>
            <w:r>
              <w:t xml:space="preserve">Credential Storage</w:t>
            </w:r>
          </w:p>
        </w:tc>
        <w:tc>
          <w:tcPr/>
          <w:p>
            <w:pPr>
              <w:pStyle w:val="Compact"/>
            </w:pPr>
            <w:r>
              <w:t xml:space="preserve">Supabase Vault (AES-256-GCM encryption for all pharmacy credentials)</w:t>
            </w:r>
          </w:p>
        </w:tc>
      </w:tr>
      <w:tr>
        <w:tc>
          <w:tcPr/>
          <w:p>
            <w:pPr>
              <w:pStyle w:val="Compact"/>
            </w:pPr>
            <w:r>
              <w:t xml:space="preserve">EPCS 2FA</w:t>
            </w:r>
          </w:p>
        </w:tc>
        <w:tc>
          <w:tcPr/>
          <w:p>
            <w:pPr>
              <w:pStyle w:val="Compact"/>
            </w:pPr>
            <w:r>
              <w:t xml:space="preserve">otplib (TOTP RFC 6238), AES-256-GCM encryption, immutable audit log</w:t>
            </w:r>
          </w:p>
        </w:tc>
      </w:tr>
      <w:tr>
        <w:tc>
          <w:tcPr/>
          <w:p>
            <w:pPr>
              <w:pStyle w:val="Compact"/>
            </w:pPr>
            <w:r>
              <w:t xml:space="preserve">Deployment</w:t>
            </w:r>
          </w:p>
        </w:tc>
        <w:tc>
          <w:tcPr/>
          <w:p>
            <w:pPr>
              <w:pStyle w:val="Compact"/>
            </w:pPr>
            <w:r>
              <w:t xml:space="preserve">Vercel (serverless functions, atomic deploys, instant rollback)</w:t>
            </w:r>
          </w:p>
        </w:tc>
      </w:tr>
      <w:tr>
        <w:tc>
          <w:tcPr/>
          <w:p>
            <w:pPr>
              <w:pStyle w:val="Compact"/>
            </w:pPr>
            <w:r>
              <w:t xml:space="preserve">Cron Scheduling</w:t>
            </w:r>
          </w:p>
        </w:tc>
        <w:tc>
          <w:tcPr/>
          <w:p>
            <w:pPr>
              <w:pStyle w:val="Compact"/>
            </w:pPr>
            <w:r>
              <w:t xml:space="preserve">Vercel Crons —</w:t>
            </w:r>
            <w:r>
              <w:t xml:space="preserve"> </w:t>
            </w:r>
            <w:r>
              <w:rPr>
                <w:b/>
                <w:bCs/>
              </w:rPr>
              <w:t xml:space="preserve">10 scheduled jobs</w:t>
            </w:r>
            <w:r>
              <w:t xml:space="preserve"> </w:t>
            </w:r>
            <w:r>
              <w:t xml:space="preserve">(SLA, payments, adapters, daily digest, POC credential sync)</w:t>
            </w:r>
          </w:p>
        </w:tc>
      </w:tr>
      <w:tr>
        <w:tc>
          <w:tcPr/>
          <w:p>
            <w:pPr>
              <w:pStyle w:val="Compact"/>
            </w:pPr>
            <w:r>
              <w:t xml:space="preserve">Monitoring</w:t>
            </w:r>
          </w:p>
        </w:tc>
        <w:tc>
          <w:tcPr/>
          <w:p>
            <w:pPr>
              <w:pStyle w:val="Compact"/>
            </w:pPr>
            <w:r>
              <w:t xml:space="preserve">Sentry (PHI-scrubbed) + Slack + PagerDuty</w:t>
            </w:r>
          </w:p>
        </w:tc>
      </w:tr>
    </w:tbl>
    <w:bookmarkEnd w:id="18"/>
    <w:bookmarkStart w:id="19" w:name="database-architecture-33-tables-1-view"/>
    <w:p>
      <w:pPr>
        <w:pStyle w:val="Heading3"/>
      </w:pPr>
      <w:r>
        <w:t xml:space="preserve">Database Architecture (33 Tables + 1 View)</w:t>
      </w:r>
    </w:p>
    <w:tbl>
      <w:tblPr>
        <w:tblStyle w:val="Table"/>
        <w:tblW w:type="pct" w:w="5000"/>
        <w:tblLayout w:type="fixed"/>
        <w:tblLook w:firstRow="1" w:lastRow="0" w:firstColumn="0" w:lastColumn="0" w:noHBand="0" w:noVBand="0" w:val="0020"/>
      </w:tblPr>
      <w:tblGrid>
        <w:gridCol w:w="2534"/>
        <w:gridCol w:w="2534"/>
        <w:gridCol w:w="2851"/>
      </w:tblGrid>
      <w:tr>
        <w:trPr>
          <w:tblHeader w:val="on"/>
        </w:trPr>
        <w:tc>
          <w:tcPr/>
          <w:p>
            <w:pPr>
              <w:pStyle w:val="Compact"/>
            </w:pPr>
            <w:r>
              <w:t xml:space="preserve">Series</w:t>
            </w:r>
          </w:p>
        </w:tc>
        <w:tc>
          <w:tcPr/>
          <w:p>
            <w:pPr>
              <w:pStyle w:val="Compact"/>
            </w:pPr>
            <w:r>
              <w:t xml:space="preserve">Tables</w:t>
            </w:r>
          </w:p>
        </w:tc>
        <w:tc>
          <w:tcPr/>
          <w:p>
            <w:pPr>
              <w:pStyle w:val="Compact"/>
            </w:pPr>
            <w:r>
              <w:t xml:space="preserve">Purpose</w:t>
            </w:r>
          </w:p>
        </w:tc>
      </w:tr>
      <w:tr>
        <w:tc>
          <w:tcPr/>
          <w:p>
            <w:pPr>
              <w:pStyle w:val="Compact"/>
            </w:pPr>
            <w:r>
              <w:t xml:space="preserve">V1.0 (12)</w:t>
            </w:r>
          </w:p>
        </w:tc>
        <w:tc>
          <w:tcPr/>
          <w:p>
            <w:pPr>
              <w:pStyle w:val="Compact"/>
            </w:pPr>
            <w:r>
              <w:t xml:space="preserve">clinics, providers, patients, pharmacies, pharmacy_state_licenses, catalog, catalog_history, orders, order_status_history, webhook_events, order_sla_deadlines, inbound_fax_queue</w:t>
            </w:r>
          </w:p>
        </w:tc>
        <w:tc>
          <w:tcPr/>
          <w:p>
            <w:pPr>
              <w:pStyle w:val="Compact"/>
            </w:pPr>
            <w:r>
              <w:t xml:space="preserve">Core business entities</w:t>
            </w:r>
          </w:p>
        </w:tc>
      </w:tr>
      <w:tr>
        <w:tc>
          <w:tcPr/>
          <w:p>
            <w:pPr>
              <w:pStyle w:val="Compact"/>
            </w:pPr>
            <w:r>
              <w:t xml:space="preserve">V2.0 (5)</w:t>
            </w:r>
          </w:p>
        </w:tc>
        <w:tc>
          <w:tcPr/>
          <w:p>
            <w:pPr>
              <w:pStyle w:val="Compact"/>
            </w:pPr>
            <w:r>
              <w:t xml:space="preserve">pharmacy_api_configs, pharmacy_portal_configs, adapter_submissions, normalized_catalog, pharmacy_webhook_events</w:t>
            </w:r>
          </w:p>
        </w:tc>
        <w:tc>
          <w:tcPr/>
          <w:p>
            <w:pPr>
              <w:pStyle w:val="Compact"/>
            </w:pPr>
            <w:r>
              <w:t xml:space="preserve">Multi-tier adapter layer</w:t>
            </w:r>
          </w:p>
        </w:tc>
      </w:tr>
      <w:tr>
        <w:tc>
          <w:tcPr/>
          <w:p>
            <w:pPr>
              <w:pStyle w:val="Compact"/>
            </w:pPr>
            <w:r>
              <w:t xml:space="preserve">Operational (4)</w:t>
            </w:r>
          </w:p>
        </w:tc>
        <w:tc>
          <w:tcPr/>
          <w:p>
            <w:pPr>
              <w:pStyle w:val="Compact"/>
            </w:pPr>
            <w:r>
              <w:t xml:space="preserve">sms_log, sms_templates, transfer_failures, disputes</w:t>
            </w:r>
          </w:p>
        </w:tc>
        <w:tc>
          <w:tcPr/>
          <w:p>
            <w:pPr>
              <w:pStyle w:val="Compact"/>
            </w:pPr>
            <w:r>
              <w:t xml:space="preserve">Communications + finance</w:t>
            </w:r>
          </w:p>
        </w:tc>
      </w:tr>
      <w:tr>
        <w:tc>
          <w:tcPr/>
          <w:p>
            <w:pPr>
              <w:pStyle w:val="Compact"/>
            </w:pPr>
            <w:r>
              <w:t xml:space="preserve">Incremental (5)</w:t>
            </w:r>
          </w:p>
        </w:tc>
        <w:tc>
          <w:tcPr/>
          <w:p>
            <w:pPr>
              <w:pStyle w:val="Compact"/>
            </w:pPr>
            <w:r>
              <w:t xml:space="preserve">clinic_notifications, ops_alert_queue, circuit_breaker_state, sla_notifications_log, catalog_upload_history</w:t>
            </w:r>
          </w:p>
        </w:tc>
        <w:tc>
          <w:tcPr/>
          <w:p>
            <w:pPr>
              <w:pStyle w:val="Compact"/>
            </w:pPr>
            <w:r>
              <w:t xml:space="preserve">Ops + reliability</w:t>
            </w:r>
          </w:p>
        </w:tc>
      </w:tr>
      <w:tr>
        <w:tc>
          <w:tcPr/>
          <w:p>
            <w:pPr>
              <w:pStyle w:val="Compact"/>
            </w:pPr>
            <w:r>
              <w:rPr>
                <w:b/>
                <w:bCs/>
              </w:rPr>
              <w:t xml:space="preserve">V3.0 Hierarchical Catalog (8)</w:t>
            </w:r>
          </w:p>
        </w:tc>
        <w:tc>
          <w:tcPr/>
          <w:p>
            <w:pPr>
              <w:pStyle w:val="Compact"/>
            </w:pPr>
            <w:r>
              <w:t xml:space="preserve">ingredients, salt_forms, dosage_forms, routes_of_administration, formulations, formulation_ingredients, pharmacy_formulations, sig_templates</w:t>
            </w:r>
          </w:p>
        </w:tc>
        <w:tc>
          <w:tcPr/>
          <w:p>
            <w:pPr>
              <w:pStyle w:val="Compact"/>
            </w:pPr>
            <w:r>
              <w:t xml:space="preserve">Cascading prescription builder data model</w:t>
            </w:r>
          </w:p>
        </w:tc>
      </w:tr>
      <w:tr>
        <w:tc>
          <w:tcPr/>
          <w:p>
            <w:pPr>
              <w:pStyle w:val="Compact"/>
            </w:pPr>
            <w:r>
              <w:rPr>
                <w:b/>
                <w:bCs/>
              </w:rPr>
              <w:t xml:space="preserve">Provider Speed Features (3)</w:t>
            </w:r>
          </w:p>
        </w:tc>
        <w:tc>
          <w:tcPr/>
          <w:p>
            <w:pPr>
              <w:pStyle w:val="Compact"/>
            </w:pPr>
            <w:r>
              <w:t xml:space="preserve">provider_favorites, clinic_protocol_templates, clinic_protocol_items</w:t>
            </w:r>
          </w:p>
        </w:tc>
        <w:tc>
          <w:tcPr/>
          <w:p>
            <w:pPr>
              <w:pStyle w:val="Compact"/>
            </w:pPr>
            <w:r>
              <w:t xml:space="preserve">Favorites + multi-medication protocols</w:t>
            </w:r>
          </w:p>
        </w:tc>
      </w:tr>
      <w:tr>
        <w:tc>
          <w:tcPr/>
          <w:p>
            <w:pPr>
              <w:pStyle w:val="Compact"/>
            </w:pPr>
            <w:r>
              <w:rPr>
                <w:b/>
                <w:bCs/>
              </w:rPr>
              <w:t xml:space="preserve">Regulatory Compliance (5)</w:t>
            </w:r>
          </w:p>
        </w:tc>
        <w:tc>
          <w:tcPr/>
          <w:p>
            <w:pPr>
              <w:pStyle w:val="Compact"/>
            </w:pPr>
            <w:r>
              <w:t xml:space="preserve">drug_interactions, patient_protocol_phases, phase_advancement_history, epcs_audit_log, prescription_dea_tracking</w:t>
            </w:r>
          </w:p>
        </w:tc>
        <w:tc>
          <w:tcPr/>
          <w:p>
            <w:pPr>
              <w:pStyle w:val="Compact"/>
            </w:pPr>
            <w:r>
              <w:t xml:space="preserve">DEA EPCS + drug interactions + protocol phases</w:t>
            </w:r>
          </w:p>
        </w:tc>
      </w:tr>
      <w:tr>
        <w:tc>
          <w:tcPr/>
          <w:p>
            <w:pPr>
              <w:pStyle w:val="Compact"/>
            </w:pPr>
            <w:r>
              <w:rPr>
                <w:b/>
                <w:bCs/>
              </w:rPr>
              <w:t xml:space="preserve">1 View</w:t>
            </w:r>
          </w:p>
        </w:tc>
        <w:tc>
          <w:tcPr/>
          <w:p>
            <w:pPr>
              <w:pStyle w:val="Compact"/>
            </w:pPr>
            <w:r>
              <w:t xml:space="preserve">provider_prescribing_history</w:t>
            </w:r>
          </w:p>
        </w:tc>
        <w:tc>
          <w:tcPr/>
          <w:p>
            <w:pPr>
              <w:pStyle w:val="Compact"/>
            </w:pPr>
            <w:r>
              <w:t xml:space="preserve">Per-provider Rx aggregation</w:t>
            </w:r>
          </w:p>
        </w:tc>
      </w:tr>
    </w:tbl>
    <w:bookmarkEnd w:id="19"/>
    <w:bookmarkStart w:id="20" w:name="order-state-machine"/>
    <w:p>
      <w:pPr>
        <w:pStyle w:val="Heading3"/>
      </w:pPr>
      <w:r>
        <w:t xml:space="preserve">Order State Machine</w:t>
      </w:r>
    </w:p>
    <w:p>
      <w:pPr>
        <w:pStyle w:val="FirstParagraph"/>
      </w:pPr>
      <w:r>
        <w:t xml:space="preserve">Every order flows through a closed state machine with exactly</w:t>
      </w:r>
      <w:r>
        <w:t xml:space="preserve"> </w:t>
      </w:r>
      <w:r>
        <w:rPr>
          <w:b/>
          <w:bCs/>
        </w:rPr>
        <w:t xml:space="preserve">23 states</w:t>
      </w:r>
      <w:r>
        <w:t xml:space="preserve"> </w:t>
      </w:r>
      <w:r>
        <w:t xml:space="preserve">and</w:t>
      </w:r>
      <w:r>
        <w:t xml:space="preserve"> </w:t>
      </w:r>
      <w:r>
        <w:rPr>
          <w:b/>
          <w:bCs/>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
          <w:bCs/>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pStyle w:val="Compact"/>
        <w:numPr>
          <w:ilvl w:val="0"/>
          <w:numId w:val="1008"/>
        </w:numPr>
      </w:pPr>
      <w:r>
        <w:rPr>
          <w:b/>
          <w:bCs/>
        </w:rPr>
        <w:t xml:space="preserve">Terminal states:</w:t>
      </w:r>
      <w:r>
        <w:t xml:space="preserve"> </w:t>
      </w:r>
      <w:r>
        <w:t xml:space="preserve">CANCELLED, REFUNDED, DELIVERED</w:t>
      </w:r>
    </w:p>
    <w:p>
      <w:pPr>
        <w:pStyle w:val="Compact"/>
        <w:numPr>
          <w:ilvl w:val="0"/>
          <w:numId w:val="1008"/>
        </w:numPr>
      </w:pPr>
      <w:r>
        <w:rPr>
          <w:b/>
          <w:bCs/>
        </w:rPr>
        <w:t xml:space="preserve">Error states:</w:t>
      </w:r>
      <w:r>
        <w:t xml:space="preserve"> </w:t>
      </w:r>
      <w:r>
        <w:t xml:space="preserve">ERROR_PAYMENT_FAILED, ERROR_COMPLIANCE_HOLD</w:t>
      </w:r>
    </w:p>
    <w:p>
      <w:pPr>
        <w:pStyle w:val="Compact"/>
        <w:numPr>
          <w:ilvl w:val="0"/>
          <w:numId w:val="1008"/>
        </w:numPr>
      </w:pPr>
      <w:r>
        <w:rPr>
          <w:b/>
          <w:bCs/>
        </w:rPr>
        <w:t xml:space="preserve">SLA enforcement:</w:t>
      </w:r>
      <w:r>
        <w:t xml:space="preserve"> </w:t>
      </w:r>
      <w:r>
        <w:t xml:space="preserve">10 SLA types with 3-tier escalation (automated → Slack → PagerDuty)</w:t>
      </w:r>
    </w:p>
    <w:bookmarkEnd w:id="20"/>
    <w:bookmarkStart w:id="21"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ayout w:type="fixed"/>
        <w:tblLook w:firstRow="1" w:lastRow="0" w:firstColumn="0" w:lastColumn="0" w:noHBand="0" w:noVBand="0" w:val="0020"/>
      </w:tblPr>
      <w:tblGrid>
        <w:gridCol w:w="833"/>
        <w:gridCol w:w="1111"/>
        <w:gridCol w:w="2640"/>
        <w:gridCol w:w="972"/>
        <w:gridCol w:w="2362"/>
      </w:tblGrid>
      <w:tr>
        <w:trPr>
          <w:tblHeader w:val="on"/>
        </w:trPr>
        <w:tc>
          <w:tcPr/>
          <w:p>
            <w:pPr>
              <w:pStyle w:val="Compact"/>
            </w:pPr>
            <w:r>
              <w:t xml:space="preserve">Tier</w:t>
            </w:r>
          </w:p>
        </w:tc>
        <w:tc>
          <w:tcPr/>
          <w:p>
            <w:pPr>
              <w:pStyle w:val="Compact"/>
            </w:pPr>
            <w:r>
              <w:t xml:space="preserve">Method</w:t>
            </w:r>
          </w:p>
        </w:tc>
        <w:tc>
          <w:tcPr/>
          <w:p>
            <w:pPr>
              <w:pStyle w:val="Compact"/>
            </w:pPr>
            <w:r>
              <w:t xml:space="preserve">Target Pharmacies</w:t>
            </w:r>
          </w:p>
        </w:tc>
        <w:tc>
          <w:tcPr/>
          <w:p>
            <w:pPr>
              <w:pStyle w:val="Compact"/>
            </w:pPr>
            <w:r>
              <w:t xml:space="preserve">Speed</w:t>
            </w:r>
          </w:p>
        </w:tc>
        <w:tc>
          <w:tcPr/>
          <w:p>
            <w:pPr>
              <w:pStyle w:val="Compact"/>
            </w:pPr>
            <w:r>
              <w:t xml:space="preserve">Market Coverage</w:t>
            </w:r>
          </w:p>
        </w:tc>
      </w:tr>
      <w:tr>
        <w:tc>
          <w:tcPr/>
          <w:p>
            <w:pPr>
              <w:pStyle w:val="Compact"/>
            </w:pPr>
            <w:r>
              <w:t xml:space="preserve">Tier 1</w:t>
            </w:r>
          </w:p>
        </w:tc>
        <w:tc>
          <w:tcPr/>
          <w:p>
            <w:pPr>
              <w:pStyle w:val="Compact"/>
            </w:pPr>
            <w:r>
              <w:t xml:space="preserve">Direct REST API</w:t>
            </w:r>
          </w:p>
        </w:tc>
        <w:tc>
          <w:tcPr/>
          <w:p>
            <w:pPr>
              <w:pStyle w:val="Compact"/>
            </w:pPr>
            <w:r>
              <w:t xml:space="preserve">ReviveRX, Vios, MediVera, LifeFile network (Empower, Belmar, UCP, Strive), Precision</w:t>
            </w:r>
          </w:p>
        </w:tc>
        <w:tc>
          <w:tcPr/>
          <w:p>
            <w:pPr>
              <w:pStyle w:val="Compact"/>
            </w:pPr>
            <w:r>
              <w:t xml:space="preserve">Instant (~2s)</w:t>
            </w:r>
          </w:p>
        </w:tc>
        <w:tc>
          <w:tcPr/>
          <w:p>
            <w:pPr>
              <w:pStyle w:val="Compact"/>
            </w:pPr>
            <w:r>
              <w:t xml:space="preserve">~25%</w:t>
            </w:r>
          </w:p>
        </w:tc>
      </w:tr>
      <w:tr>
        <w:tc>
          <w:tcPr/>
          <w:p>
            <w:pPr>
              <w:pStyle w:val="Compact"/>
            </w:pPr>
            <w:r>
              <w:t xml:space="preserve">Tier 2</w:t>
            </w:r>
          </w:p>
        </w:tc>
        <w:tc>
          <w:tcPr/>
          <w:p>
            <w:pPr>
              <w:pStyle w:val="Compact"/>
            </w:pPr>
            <w:r>
              <w:t xml:space="preserve">Automated Portal Submission (Playwright)</w:t>
            </w:r>
          </w:p>
        </w:tc>
        <w:tc>
          <w:tcPr/>
          <w:p>
            <w:pPr>
              <w:pStyle w:val="Compact"/>
            </w:pPr>
            <w:r>
              <w:t xml:space="preserve">Olympia/DrScript, Wells/WellsPx3</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Specification (published spec)</w:t>
            </w:r>
          </w:p>
        </w:tc>
        <w:tc>
          <w:tcPr/>
          <w:p>
            <w:pPr>
              <w:pStyle w:val="Compact"/>
            </w:pPr>
            <w:r>
              <w:t xml:space="preserve">Future partners adopting our published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 (Documo)</w:t>
            </w:r>
          </w:p>
        </w:tc>
        <w:tc>
          <w:tcPr/>
          <w:p>
            <w:pPr>
              <w:pStyle w:val="Compact"/>
            </w:pPr>
            <w:r>
              <w:t xml:space="preserve">Any pharmacy without Tier 1/2/3 capability</w:t>
            </w:r>
          </w:p>
        </w:tc>
        <w:tc>
          <w:tcPr/>
          <w:p>
            <w:pPr>
              <w:pStyle w:val="Compact"/>
            </w:pPr>
            <w:r>
              <w:t xml:space="preserve">~30 min</w:t>
            </w:r>
          </w:p>
        </w:tc>
        <w:tc>
          <w:tcPr/>
          <w:p>
            <w:pPr>
              <w:pStyle w:val="Compact"/>
            </w:pPr>
            <w:r>
              <w:t xml:space="preserve">Universal</w:t>
            </w:r>
          </w:p>
        </w:tc>
      </w:tr>
    </w:tbl>
    <w:p>
      <w:pPr>
        <w:pStyle w:val="BodyText"/>
      </w:pPr>
      <w:r>
        <w:rPr>
          <w:b/>
          <w:bCs/>
        </w:rPr>
        <w:t xml:space="preserve">Key architectural insights:</w:t>
      </w:r>
    </w:p>
    <w:p>
      <w:pPr>
        <w:pStyle w:val="Compact"/>
        <w:numPr>
          <w:ilvl w:val="0"/>
          <w:numId w:val="1009"/>
        </w:numPr>
      </w:pPr>
      <w:r>
        <w:rPr>
          <w:b/>
          <w:bCs/>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pStyle w:val="Compact"/>
        <w:numPr>
          <w:ilvl w:val="0"/>
          <w:numId w:val="1009"/>
        </w:numPr>
      </w:pPr>
      <w:r>
        <w:rPr>
          <w:b/>
          <w:bCs/>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pStyle w:val="Compact"/>
        <w:numPr>
          <w:ilvl w:val="0"/>
          <w:numId w:val="1009"/>
        </w:numPr>
      </w:pPr>
      <w:r>
        <w:rPr>
          <w:b/>
          <w:bCs/>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pStyle w:val="Compact"/>
        <w:numPr>
          <w:ilvl w:val="0"/>
          <w:numId w:val="1009"/>
        </w:numPr>
      </w:pPr>
      <w:r>
        <w:rPr>
          <w:b/>
          <w:bCs/>
        </w:rPr>
        <w:t xml:space="preserve">Universal coverage:</w:t>
      </w:r>
      <w:r>
        <w:t xml:space="preserve"> </w:t>
      </w:r>
      <w:r>
        <w:t xml:space="preserve">Fax is always available. Any pharmacy in the US can receive orders via CompoundIQ on day one.</w:t>
      </w:r>
    </w:p>
    <w:bookmarkEnd w:id="21"/>
    <w:bookmarkStart w:id="22"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pStyle w:val="Compact"/>
        <w:numPr>
          <w:ilvl w:val="0"/>
          <w:numId w:val="1010"/>
        </w:numPr>
      </w:pPr>
      <w:r>
        <w:rPr>
          <w:b/>
          <w:bCs/>
        </w:rPr>
        <w:t xml:space="preserve">TOTP via otplib (RFC 6238)</w:t>
      </w:r>
      <w:r>
        <w:t xml:space="preserve"> </w:t>
      </w:r>
      <w:r>
        <w:t xml:space="preserve">— 6-digit codes, 30-second windows</w:t>
      </w:r>
    </w:p>
    <w:p>
      <w:pPr>
        <w:pStyle w:val="Compact"/>
        <w:numPr>
          <w:ilvl w:val="0"/>
          <w:numId w:val="1010"/>
        </w:numPr>
      </w:pPr>
      <w:r>
        <w:rPr>
          <w:b/>
          <w:bCs/>
        </w:rPr>
        <w:t xml:space="preserve">AES-256-GCM encryption</w:t>
      </w:r>
      <w:r>
        <w:t xml:space="preserve"> </w:t>
      </w:r>
      <w:r>
        <w:t xml:space="preserve">of TOTP secrets at rest</w:t>
      </w:r>
    </w:p>
    <w:p>
      <w:pPr>
        <w:pStyle w:val="Compact"/>
        <w:numPr>
          <w:ilvl w:val="0"/>
          <w:numId w:val="1010"/>
        </w:numPr>
      </w:pPr>
      <w:r>
        <w:rPr>
          <w:b/>
          <w:bCs/>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pStyle w:val="Compact"/>
        <w:numPr>
          <w:ilvl w:val="0"/>
          <w:numId w:val="1010"/>
        </w:numPr>
      </w:pPr>
      <w:r>
        <w:rPr>
          <w:b/>
          <w:bCs/>
        </w:rPr>
        <w:t xml:space="preserve">2FA at the point of signing</w:t>
      </w:r>
      <w:r>
        <w:t xml:space="preserve">, not login — exactly per DEA 21 CFR Part 1311</w:t>
      </w:r>
    </w:p>
    <w:p>
      <w:pPr>
        <w:pStyle w:val="Compact"/>
        <w:numPr>
          <w:ilvl w:val="0"/>
          <w:numId w:val="1010"/>
        </w:numPr>
      </w:pPr>
      <w:r>
        <w:rPr>
          <w:b/>
          <w:bCs/>
        </w:rPr>
        <w:t xml:space="preserve">QR code enrollment</w:t>
      </w:r>
      <w:r>
        <w:t xml:space="preserve"> </w:t>
      </w:r>
      <w:r>
        <w:t xml:space="preserve">with Google Authenticator / Authy</w:t>
      </w:r>
    </w:p>
    <w:p>
      <w:pPr>
        <w:pStyle w:val="Compact"/>
        <w:numPr>
          <w:ilvl w:val="0"/>
          <w:numId w:val="1010"/>
        </w:numPr>
      </w:pPr>
      <w:r>
        <w:rPr>
          <w:b/>
          <w:bCs/>
        </w:rPr>
        <w:t xml:space="preserve">Schedule-aware UI</w:t>
      </w:r>
      <w:r>
        <w:t xml:space="preserve"> </w:t>
      </w:r>
      <w:r>
        <w:t xml:space="preserve">— DEA Schedule badges (II, III, IV, V) on every prescription card</w:t>
      </w:r>
    </w:p>
    <w:p>
      <w:pPr>
        <w:pStyle w:val="Compact"/>
        <w:numPr>
          <w:ilvl w:val="0"/>
          <w:numId w:val="1010"/>
        </w:numPr>
      </w:pPr>
      <w:r>
        <w:rPr>
          <w:b/>
          <w:bCs/>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22"/>
    <w:bookmarkEnd w:id="23"/>
    <w:bookmarkStart w:id="26"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24" w:name="existing-platforms-and-their-limitations"/>
    <w:p>
      <w:pPr>
        <w:pStyle w:val="Heading3"/>
      </w:pPr>
      <w:r>
        <w:t xml:space="preserve">Existing Platforms and Their Limitations</w:t>
      </w:r>
    </w:p>
    <w:tbl>
      <w:tblPr>
        <w:tblStyle w:val="Table"/>
        <w:tblW w:type="pct" w:w="5000"/>
        <w:tblLayout w:type="fixed"/>
        <w:tblLook w:firstRow="1" w:lastRow="0" w:firstColumn="0" w:lastColumn="0" w:noHBand="0" w:noVBand="0" w:val="0020"/>
      </w:tblPr>
      <w:tblGrid>
        <w:gridCol w:w="1800"/>
        <w:gridCol w:w="2520"/>
        <w:gridCol w:w="3600"/>
      </w:tblGrid>
      <w:tr>
        <w:trPr>
          <w:tblHeader w:val="on"/>
        </w:trPr>
        <w:tc>
          <w:tcPr/>
          <w:p>
            <w:pPr>
              <w:pStyle w:val="Compact"/>
            </w:pPr>
            <w:r>
              <w:t xml:space="preserve">Platform</w:t>
            </w:r>
          </w:p>
        </w:tc>
        <w:tc>
          <w:tcPr/>
          <w:p>
            <w:pPr>
              <w:pStyle w:val="Compact"/>
            </w:pPr>
            <w:r>
              <w:t xml:space="preserve">What They Do</w:t>
            </w:r>
          </w:p>
        </w:tc>
        <w:tc>
          <w:tcPr/>
          <w:p>
            <w:pPr>
              <w:pStyle w:val="Compact"/>
            </w:pPr>
            <w:r>
              <w:t xml:space="preserve">What They Don’t Do</w:t>
            </w:r>
          </w:p>
        </w:tc>
      </w:tr>
      <w:tr>
        <w:tc>
          <w:tcPr/>
          <w:p>
            <w:pPr>
              <w:pStyle w:val="Compact"/>
            </w:pPr>
            <w:r>
              <w:rPr>
                <w:b/>
                <w:bCs/>
              </w:rPr>
              <w:t xml:space="preserve">LifeFile / ePowerRx</w:t>
            </w:r>
          </w:p>
        </w:tc>
        <w:tc>
          <w:tcPr/>
          <w:p>
            <w:pPr>
              <w:pStyle w:val="Compact"/>
            </w:pPr>
            <w:r>
              <w:t xml:space="preserve">Single-pharmacy ordering (dominant platform used by Empower, Belmar, UCP, Strive). Step-by-step workflow with practice-customized formularies.</w:t>
            </w:r>
          </w:p>
        </w:tc>
        <w:tc>
          <w:tcPr/>
          <w:p>
            <w:pPr>
              <w:pStyle w:val="Compact"/>
            </w:pPr>
            <w:r>
              <w:t xml:space="preserve">No cross-pharmacy comparison. No payment collection. No unified tracking. Pharmacy trainers explicitly warn providers the UX is</w:t>
            </w:r>
            <w:r>
              <w:t xml:space="preserve"> </w:t>
            </w:r>
            <w:r>
              <w:t xml:space="preserve">“finicky.”</w:t>
            </w:r>
          </w:p>
        </w:tc>
      </w:tr>
      <w:tr>
        <w:tc>
          <w:tcPr/>
          <w:p>
            <w:pPr>
              <w:pStyle w:val="Compact"/>
            </w:pPr>
            <w:r>
              <w:rPr>
                <w:b/>
                <w:bCs/>
              </w:rPr>
              <w:t xml:space="preserve">DrScript (Olympia/503B)</w:t>
            </w:r>
          </w:p>
        </w:tc>
        <w:tc>
          <w:tcPr/>
          <w:p>
            <w:pPr>
              <w:pStyle w:val="Compact"/>
            </w:pPr>
            <w:r>
              <w:t xml:space="preserve">Fixed-catalog 503B portal with Category/Route/Volume filters. Uses cascading dropdowns (API → Form → Dose).</w:t>
            </w:r>
          </w:p>
        </w:tc>
        <w:tc>
          <w:tcPr/>
          <w:p>
            <w:pPr>
              <w:pStyle w:val="Compact"/>
            </w:pPr>
            <w:r>
              <w:t xml:space="preserve">Single-pharmacy only. Currently shows</w:t>
            </w:r>
            <w:r>
              <w:t xml:space="preserve"> </w:t>
            </w:r>
            <w:r>
              <w:t xml:space="preserve">“ordering disabled”</w:t>
            </w:r>
            <w:r>
              <w:t xml:space="preserve"> </w:t>
            </w:r>
            <w:r>
              <w:t xml:space="preserve">due to FDA GLP-1 enforcement. No pricing transparency across pharmacies.</w:t>
            </w:r>
          </w:p>
        </w:tc>
      </w:tr>
      <w:tr>
        <w:tc>
          <w:tcPr/>
          <w:p>
            <w:pPr>
              <w:pStyle w:val="Compact"/>
            </w:pPr>
            <w:r>
              <w:rPr>
                <w:b/>
                <w:bCs/>
              </w:rPr>
              <w:t xml:space="preserve">WellsPx3 (Wells Pharmacy)</w:t>
            </w:r>
          </w:p>
        </w:tc>
        <w:tc>
          <w:tcPr/>
          <w:p>
            <w:pPr>
              <w:pStyle w:val="Compact"/>
            </w:pPr>
            <w:r>
              <w:t xml:space="preserve">Only DEA 1311-certified portal for electronic controlled-substance ordering. Type-ahead dropdown from Wells formulary. Clone/reorder feature.</w:t>
            </w:r>
          </w:p>
        </w:tc>
        <w:tc>
          <w:tcPr/>
          <w:p>
            <w:pPr>
              <w:pStyle w:val="Compact"/>
            </w:pPr>
            <w:r>
              <w:t xml:space="preserve">Single-pharmacy only. No cross-pharmacy search. No payment integration.</w:t>
            </w:r>
          </w:p>
        </w:tc>
      </w:tr>
      <w:tr>
        <w:tc>
          <w:tcPr/>
          <w:p>
            <w:pPr>
              <w:pStyle w:val="Compact"/>
            </w:pPr>
            <w:r>
              <w:rPr>
                <w:b/>
                <w:bCs/>
              </w:rPr>
              <w:t xml:space="preserve">Rupa Health</w:t>
            </w:r>
          </w:p>
        </w:tc>
        <w:tc>
          <w:tcPr/>
          <w:p>
            <w:pPr>
              <w:pStyle w:val="Compact"/>
            </w:pPr>
            <w:r>
              <w:t xml:space="preserve">Lab test ordering for functional medicine (the direct analog for what we do with compounding).</w:t>
            </w:r>
          </w:p>
        </w:tc>
        <w:tc>
          <w:tcPr/>
          <w:p>
            <w:pPr>
              <w:pStyle w:val="Compact"/>
            </w:pPr>
            <w:r>
              <w:t xml:space="preserve">Zero pharmacy fulfillment, zero compounding capability.</w:t>
            </w:r>
          </w:p>
        </w:tc>
      </w:tr>
      <w:tr>
        <w:tc>
          <w:tcPr/>
          <w:p>
            <w:pPr>
              <w:pStyle w:val="Compact"/>
            </w:pPr>
            <w:r>
              <w:rPr>
                <w:b/>
                <w:bCs/>
              </w:rPr>
              <w:t xml:space="preserve">Fullscript / Wellevate</w:t>
            </w:r>
          </w:p>
        </w:tc>
        <w:tc>
          <w:tcPr/>
          <w:p>
            <w:pPr>
              <w:pStyle w:val="Compact"/>
            </w:pPr>
            <w:r>
              <w:t xml:space="preserve">Supplement protocol templates with strong sharing and auto-fill.</w:t>
            </w:r>
          </w:p>
        </w:tc>
        <w:tc>
          <w:tcPr/>
          <w:p>
            <w:pPr>
              <w:pStyle w:val="Compact"/>
            </w:pPr>
            <w:r>
              <w:t xml:space="preserve">Supplements only — zero prescription capability, zero compounding.</w:t>
            </w:r>
          </w:p>
        </w:tc>
      </w:tr>
      <w:tr>
        <w:tc>
          <w:tcPr/>
          <w:p>
            <w:pPr>
              <w:pStyle w:val="Compact"/>
            </w:pPr>
            <w:r>
              <w:rPr>
                <w:b/>
                <w:bCs/>
              </w:rPr>
              <w:t xml:space="preserve">Cerbo EHR</w:t>
            </w:r>
          </w:p>
        </w:tc>
        <w:tc>
          <w:tcPr/>
          <w:p>
            <w:pPr>
              <w:pStyle w:val="Compact"/>
            </w:pPr>
            <w:r>
              <w:t xml:space="preserve">Best functional medicine EHR.</w:t>
            </w:r>
            <w:r>
              <w:t xml:space="preserve"> </w:t>
            </w:r>
            <w:r>
              <w:t xml:space="preserve">“Chart Parts”</w:t>
            </w:r>
            <w:r>
              <w:t xml:space="preserve"> </w:t>
            </w:r>
            <w:r>
              <w:t xml:space="preserve">can bundle multiple Rx into insertable templates. Supports compounding Rx via eRx and eFax.</w:t>
            </w:r>
          </w:p>
        </w:tc>
        <w:tc>
          <w:tcPr/>
          <w:p>
            <w:pPr>
              <w:pStyle w:val="Compact"/>
            </w:pPr>
            <w:r>
              <w:t xml:space="preserve">No cross-pharmacy comparison. No payment. No fulfillment tracking. Chart Parts are text insertions, not structured order generators.</w:t>
            </w:r>
          </w:p>
        </w:tc>
      </w:tr>
      <w:tr>
        <w:tc>
          <w:tcPr/>
          <w:p>
            <w:pPr>
              <w:pStyle w:val="Compact"/>
            </w:pPr>
            <w:r>
              <w:rPr>
                <w:b/>
                <w:bCs/>
              </w:rPr>
              <w:t xml:space="preserve">Practice Better</w:t>
            </w:r>
          </w:p>
        </w:tc>
        <w:tc>
          <w:tcPr/>
          <w:p>
            <w:pPr>
              <w:pStyle w:val="Compact"/>
            </w:pPr>
            <w:r>
              <w:t xml:space="preserve">Supplement dispensing + basic charting.</w:t>
            </w:r>
          </w:p>
        </w:tc>
        <w:tc>
          <w:tcPr/>
          <w:p>
            <w:pPr>
              <w:pStyle w:val="Compact"/>
            </w:pPr>
            <w:r>
              <w:t xml:space="preserve">No compounding support whatsoever.</w:t>
            </w:r>
          </w:p>
        </w:tc>
      </w:tr>
      <w:tr>
        <w:tc>
          <w:tcPr/>
          <w:p>
            <w:pPr>
              <w:pStyle w:val="Compact"/>
            </w:pPr>
            <w:r>
              <w:rPr>
                <w:b/>
                <w:bCs/>
              </w:rPr>
              <w:t xml:space="preserve">My Practice Connect</w:t>
            </w:r>
          </w:p>
        </w:tc>
        <w:tc>
          <w:tcPr/>
          <w:p>
            <w:pPr>
              <w:pStyle w:val="Compact"/>
            </w:pPr>
            <w:r>
              <w:t xml:space="preserve">Multi-pharmacy compounding eRx routing with real-time inventory comparison.</w:t>
            </w:r>
          </w:p>
        </w:tc>
        <w:tc>
          <w:tcPr/>
          <w:p>
            <w:pPr>
              <w:pStyle w:val="Compact"/>
            </w:pPr>
            <w:r>
              <w:t xml:space="preserve">Closest competitor to CompoundIQ’s routing model, but no patient payment, no margin tools, no SLA tracking, no protocol templates, no EPCS 2FA, no cascading builder.</w:t>
            </w:r>
          </w:p>
        </w:tc>
      </w:tr>
      <w:tr>
        <w:tc>
          <w:tcPr/>
          <w:p>
            <w:pPr>
              <w:pStyle w:val="Compact"/>
            </w:pPr>
            <w:r>
              <w:rPr>
                <w:b/>
                <w:bCs/>
              </w:rPr>
              <w:t xml:space="preserve">E-Fax Services</w:t>
            </w:r>
          </w:p>
        </w:tc>
        <w:tc>
          <w:tcPr/>
          <w:p>
            <w:pPr>
              <w:pStyle w:val="Compact"/>
            </w:pPr>
            <w:r>
              <w:t xml:space="preserve">Send faxes.</w:t>
            </w:r>
          </w:p>
        </w:tc>
        <w:tc>
          <w:tcPr/>
          <w:p>
            <w:pPr>
              <w:pStyle w:val="Compact"/>
            </w:pPr>
            <w:r>
              <w:t xml:space="preserve">No intelligence, no tracking, no escalation, no payment, no state compliance filtering.</w:t>
            </w:r>
          </w:p>
        </w:tc>
      </w:tr>
    </w:tbl>
    <w:bookmarkEnd w:id="24"/>
    <w:bookmarkStart w:id="25"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
          <w:bCs/>
        </w:rPr>
        <w:t xml:space="preserve">All three are now BUILT.</w:t>
      </w:r>
    </w:p>
    <w:p>
      <w:pPr>
        <w:pStyle w:val="BodyText"/>
      </w:pPr>
      <w:r>
        <w:rPr>
          <w:b/>
          <w:bCs/>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
          <w:bCs/>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
          <w:bCs/>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
          <w:bCs/>
        </w:rPr>
        <w:t xml:space="preserve">clinic protocol templates</w:t>
      </w:r>
      <w:r>
        <w:t xml:space="preserve"> </w:t>
      </w:r>
      <w:r>
        <w:t xml:space="preserve">(multi-medication bundles) and</w:t>
      </w:r>
      <w:r>
        <w:t xml:space="preserve"> </w:t>
      </w:r>
      <w:r>
        <w:rPr>
          <w:b/>
          <w:bCs/>
        </w:rPr>
        <w:t xml:space="preserve">provider favorites</w:t>
      </w:r>
      <w:r>
        <w:t xml:space="preserve"> </w:t>
      </w:r>
      <w:r>
        <w:t xml:space="preserve">(one-click reorder of common configurations). One click loads an entire protocol into the prescription session.</w:t>
      </w:r>
    </w:p>
    <w:p>
      <w:pPr>
        <w:pStyle w:val="BodyText"/>
      </w:pPr>
      <w:r>
        <w:rPr>
          <w:b/>
          <w:bCs/>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
          <w:bCs/>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25"/>
    <w:bookmarkEnd w:id="26"/>
    <w:bookmarkStart w:id="27" w:name="core-strengths-unfair-advantages"/>
    <w:p>
      <w:pPr>
        <w:pStyle w:val="Heading2"/>
      </w:pPr>
      <w:r>
        <w:t xml:space="preserve">6. Core Strengths &amp; Unfair Advantages</w:t>
      </w:r>
    </w:p>
    <w:p>
      <w:pPr>
        <w:pStyle w:val="Compact"/>
        <w:numPr>
          <w:ilvl w:val="0"/>
          <w:numId w:val="1011"/>
        </w:numPr>
      </w:pPr>
      <w:r>
        <w:rPr>
          <w:b/>
          <w:bCs/>
        </w:rPr>
        <w:t xml:space="preserve">Avoiding the Clinical Minefield:</w:t>
      </w:r>
      <w:r>
        <w:t xml:space="preserve"> </w:t>
      </w:r>
      <w:r>
        <w:t xml:space="preserve">By hyper-focusing on the unbillable administrative backend (</w:t>
      </w:r>
      <w:r>
        <w:t xml:space="preserve">“We are not diagnosing”</w:t>
      </w:r>
      <w:r>
        <w:t xml:space="preserve">), the company drastically lowers malpractice and regulatory liability compared to traditional telehealth startups. The provider holds the clinical liability; the platform handles the routing.</w:t>
      </w:r>
    </w:p>
    <w:p>
      <w:pPr>
        <w:pStyle w:val="Compact"/>
        <w:numPr>
          <w:ilvl w:val="0"/>
          <w:numId w:val="1011"/>
        </w:numPr>
      </w:pPr>
      <w:r>
        <w:rPr>
          <w:b/>
          <w:bCs/>
        </w:rPr>
        <w:t xml:space="preserve">The Cash-Pay Tailwind:</w:t>
      </w:r>
      <w:r>
        <w:t xml:space="preserve"> </w:t>
      </w:r>
      <w:r>
        <w:t xml:space="preserve">Every transaction bypasses insurance entirely — no claims, no denials, no prior auth, no payer risk.</w:t>
      </w:r>
    </w:p>
    <w:p>
      <w:pPr>
        <w:pStyle w:val="Compact"/>
        <w:numPr>
          <w:ilvl w:val="0"/>
          <w:numId w:val="1011"/>
        </w:numPr>
      </w:pPr>
      <w:r>
        <w:rPr>
          <w:b/>
          <w:bCs/>
        </w:rPr>
        <w:t xml:space="preserve">Working Product, Independently Validated:</w:t>
      </w:r>
      <w:r>
        <w:t xml:space="preserve"> </w:t>
      </w:r>
      <w:r>
        <w:rPr>
          <w:b/>
          <w:bCs/>
        </w:rPr>
        <w:t xml:space="preserve">81 of 86 work orders completed.</w:t>
      </w:r>
      <w:r>
        <w:t xml:space="preserve"> </w:t>
      </w:r>
      <w:r>
        <w:t xml:space="preserve">Three applications live and QA-validated through</w:t>
      </w:r>
      <w:r>
        <w:t xml:space="preserve"> </w:t>
      </w:r>
      <w:r>
        <w:rPr>
          <w:b/>
          <w:bCs/>
        </w:rPr>
        <w:t xml:space="preserve">6 rounds of independent end-to-end testing</w:t>
      </w:r>
      <w:r>
        <w:t xml:space="preserve"> </w:t>
      </w:r>
      <w:r>
        <w:t xml:space="preserve">with zero remaining findings. POC deployed on Vercel. Demo-ready for partners and investors today.</w:t>
      </w:r>
    </w:p>
    <w:p>
      <w:pPr>
        <w:pStyle w:val="Compact"/>
        <w:numPr>
          <w:ilvl w:val="0"/>
          <w:numId w:val="1011"/>
        </w:numPr>
      </w:pPr>
      <w:r>
        <w:rPr>
          <w:b/>
          <w:bCs/>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pStyle w:val="Compact"/>
        <w:numPr>
          <w:ilvl w:val="0"/>
          <w:numId w:val="1011"/>
        </w:numPr>
      </w:pPr>
      <w:r>
        <w:rPr>
          <w:b/>
          <w:bCs/>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pStyle w:val="Compact"/>
        <w:numPr>
          <w:ilvl w:val="0"/>
          <w:numId w:val="1011"/>
        </w:numPr>
      </w:pPr>
      <w:r>
        <w:rPr>
          <w:b/>
          <w:bCs/>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pStyle w:val="Compact"/>
        <w:numPr>
          <w:ilvl w:val="0"/>
          <w:numId w:val="1011"/>
        </w:numPr>
      </w:pPr>
      <w:r>
        <w:rPr>
          <w:b/>
          <w:bCs/>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pStyle w:val="Compact"/>
        <w:numPr>
          <w:ilvl w:val="0"/>
          <w:numId w:val="1011"/>
        </w:numPr>
      </w:pPr>
      <w:r>
        <w:rPr>
          <w:b/>
          <w:bCs/>
        </w:rPr>
        <w:t xml:space="preserve">Demo Stability Engineered In:</w:t>
      </w:r>
      <w:r>
        <w:t xml:space="preserve"> </w:t>
      </w:r>
      <w:r>
        <w:t xml:space="preserve">Daily Vercel cron resets POC credentials to canonical values automatically.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27"/>
    <w:bookmarkStart w:id="29"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pStyle w:val="Compact"/>
        <w:numPr>
          <w:ilvl w:val="0"/>
          <w:numId w:val="1012"/>
        </w:numPr>
      </w:pPr>
      <w:r>
        <w:t xml:space="preserve">The platform fee is a percentage of the</w:t>
      </w:r>
      <w:r>
        <w:t xml:space="preserve"> </w:t>
      </w:r>
      <w:r>
        <w:rPr>
          <w:b/>
          <w:bCs/>
        </w:rPr>
        <w:t xml:space="preserve">margin spread</w:t>
      </w:r>
      <w:r>
        <w:t xml:space="preserve"> </w:t>
      </w:r>
      <w:r>
        <w:t xml:space="preserve">(retail minus wholesale), not the total transaction</w:t>
      </w:r>
    </w:p>
    <w:p>
      <w:pPr>
        <w:pStyle w:val="Compact"/>
        <w:numPr>
          <w:ilvl w:val="0"/>
          <w:numId w:val="1012"/>
        </w:numPr>
      </w:pPr>
      <w:r>
        <w:t xml:space="preserve">The clinic sees the exact fee before they commit — full transparency in the in-app margin builder</w:t>
      </w:r>
    </w:p>
    <w:p>
      <w:pPr>
        <w:pStyle w:val="Compact"/>
        <w:numPr>
          <w:ilvl w:val="0"/>
          <w:numId w:val="1012"/>
        </w:numPr>
      </w:pPr>
      <w:r>
        <w:t xml:space="preserve">Stripe processing fees (2.9% + $0.30) come out of the platform’s portion, not the clinic’s</w:t>
      </w:r>
    </w:p>
    <w:p>
      <w:pPr>
        <w:pStyle w:val="Compact"/>
        <w:numPr>
          <w:ilvl w:val="0"/>
          <w:numId w:val="1012"/>
        </w:numPr>
      </w:pPr>
      <w:r>
        <w:t xml:space="preserve">No subscription fees, no per-user fees — purely transaction-based</w:t>
      </w:r>
    </w:p>
    <w:p>
      <w:pPr>
        <w:pStyle w:val="Compact"/>
        <w:numPr>
          <w:ilvl w:val="0"/>
          <w:numId w:val="1012"/>
        </w:numPr>
      </w:pPr>
      <w:r>
        <w:t xml:space="preserve">Database-level CHECK constraint prevents selling below cost</w:t>
      </w:r>
    </w:p>
    <w:p>
      <w:pPr>
        <w:pStyle w:val="Compact"/>
        <w:numPr>
          <w:ilvl w:val="0"/>
          <w:numId w:val="1012"/>
        </w:numPr>
      </w:pPr>
      <w:r>
        <w:t xml:space="preserve">Default markup pre-fills retail at 1.4x wholesale (configurable per clinic) — MA never types a number unless overriding</w:t>
      </w:r>
    </w:p>
    <w:p>
      <w:pPr>
        <w:pStyle w:val="FirstParagraph"/>
      </w:pPr>
      <w:r>
        <w:rPr>
          <w:b/>
          <w:bCs/>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28" w:name="unit-economics-per-prescription"/>
    <w:p>
      <w:pPr>
        <w:pStyle w:val="Heading3"/>
      </w:pPr>
      <w:r>
        <w:t xml:space="preserve">Unit Economics Per Prescription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Avg wholesale cost</w:t>
            </w:r>
          </w:p>
        </w:tc>
        <w:tc>
          <w:tcPr/>
          <w:p>
            <w:pPr>
              <w:pStyle w:val="Compact"/>
            </w:pPr>
            <w:r>
              <w:t xml:space="preserve">$100</w:t>
            </w:r>
          </w:p>
        </w:tc>
        <w:tc>
          <w:tcPr/>
          <w:p>
            <w:pPr>
              <w:pStyle w:val="Compact"/>
            </w:pPr>
            <w:r>
              <w:t xml:space="preserve">$150</w:t>
            </w:r>
          </w:p>
        </w:tc>
        <w:tc>
          <w:tcPr/>
          <w:p>
            <w:pPr>
              <w:pStyle w:val="Compact"/>
            </w:pPr>
            <w:r>
              <w:t xml:space="preserve">$200</w:t>
            </w:r>
          </w:p>
        </w:tc>
      </w:tr>
      <w:tr>
        <w:tc>
          <w:tcPr/>
          <w:p>
            <w:pPr>
              <w:pStyle w:val="Compact"/>
            </w:pPr>
            <w:r>
              <w:t xml:space="preserve">Avg clinic markup</w:t>
            </w:r>
          </w:p>
        </w:tc>
        <w:tc>
          <w:tcPr/>
          <w:p>
            <w:pPr>
              <w:pStyle w:val="Compact"/>
            </w:pPr>
            <w:r>
              <w:t xml:space="preserve">2.0x</w:t>
            </w:r>
          </w:p>
        </w:tc>
        <w:tc>
          <w:tcPr/>
          <w:p>
            <w:pPr>
              <w:pStyle w:val="Compact"/>
            </w:pPr>
            <w:r>
              <w:t xml:space="preserve">2.0x</w:t>
            </w:r>
          </w:p>
        </w:tc>
        <w:tc>
          <w:tcPr/>
          <w:p>
            <w:pPr>
              <w:pStyle w:val="Compact"/>
            </w:pPr>
            <w:r>
              <w:t xml:space="preserve">2.5x</w:t>
            </w:r>
          </w:p>
        </w:tc>
      </w:tr>
      <w:tr>
        <w:tc>
          <w:tcPr/>
          <w:p>
            <w:pPr>
              <w:pStyle w:val="Compact"/>
            </w:pPr>
            <w:r>
              <w:t xml:space="preserve">Avg retail price</w:t>
            </w:r>
          </w:p>
        </w:tc>
        <w:tc>
          <w:tcPr/>
          <w:p>
            <w:pPr>
              <w:pStyle w:val="Compact"/>
            </w:pPr>
            <w:r>
              <w:t xml:space="preserve">$200</w:t>
            </w:r>
          </w:p>
        </w:tc>
        <w:tc>
          <w:tcPr/>
          <w:p>
            <w:pPr>
              <w:pStyle w:val="Compact"/>
            </w:pPr>
            <w:r>
              <w:t xml:space="preserve">$300</w:t>
            </w:r>
          </w:p>
        </w:tc>
        <w:tc>
          <w:tcPr/>
          <w:p>
            <w:pPr>
              <w:pStyle w:val="Compact"/>
            </w:pPr>
            <w:r>
              <w:t xml:space="preserve">$500</w:t>
            </w:r>
          </w:p>
        </w:tc>
      </w:tr>
      <w:tr>
        <w:tc>
          <w:tcPr/>
          <w:p>
            <w:pPr>
              <w:pStyle w:val="Compact"/>
            </w:pPr>
            <w:r>
              <w:t xml:space="preserve">Margin spread</w:t>
            </w:r>
          </w:p>
        </w:tc>
        <w:tc>
          <w:tcPr/>
          <w:p>
            <w:pPr>
              <w:pStyle w:val="Compact"/>
            </w:pPr>
            <w:r>
              <w:t xml:space="preserve">$100</w:t>
            </w:r>
          </w:p>
        </w:tc>
        <w:tc>
          <w:tcPr/>
          <w:p>
            <w:pPr>
              <w:pStyle w:val="Compact"/>
            </w:pPr>
            <w:r>
              <w:t xml:space="preserve">$150</w:t>
            </w:r>
          </w:p>
        </w:tc>
        <w:tc>
          <w:tcPr/>
          <w:p>
            <w:pPr>
              <w:pStyle w:val="Compact"/>
            </w:pPr>
            <w:r>
              <w:t xml:space="preserve">$300</w:t>
            </w:r>
          </w:p>
        </w:tc>
      </w:tr>
      <w:tr>
        <w:tc>
          <w:tcPr/>
          <w:p>
            <w:pPr>
              <w:pStyle w:val="Compact"/>
            </w:pPr>
            <w:r>
              <w:t xml:space="preserve">Platform fee (15%)</w:t>
            </w:r>
          </w:p>
        </w:tc>
        <w:tc>
          <w:tcPr/>
          <w:p>
            <w:pPr>
              <w:pStyle w:val="Compact"/>
            </w:pPr>
            <w:r>
              <w:t xml:space="preserve">$15</w:t>
            </w:r>
          </w:p>
        </w:tc>
        <w:tc>
          <w:tcPr/>
          <w:p>
            <w:pPr>
              <w:pStyle w:val="Compact"/>
            </w:pPr>
            <w:r>
              <w:t xml:space="preserve">$22.50</w:t>
            </w:r>
          </w:p>
        </w:tc>
        <w:tc>
          <w:tcPr/>
          <w:p>
            <w:pPr>
              <w:pStyle w:val="Compact"/>
            </w:pPr>
            <w:r>
              <w:t xml:space="preserve">$45</w:t>
            </w:r>
          </w:p>
        </w:tc>
      </w:tr>
      <w:tr>
        <w:tc>
          <w:tcPr/>
          <w:p>
            <w:pPr>
              <w:pStyle w:val="Compact"/>
            </w:pPr>
            <w:r>
              <w:t xml:space="preserve">Prescriptions/clinic/month</w:t>
            </w:r>
          </w:p>
        </w:tc>
        <w:tc>
          <w:tcPr/>
          <w:p>
            <w:pPr>
              <w:pStyle w:val="Compact"/>
            </w:pPr>
            <w:r>
              <w:t xml:space="preserve">50</w:t>
            </w:r>
          </w:p>
        </w:tc>
        <w:tc>
          <w:tcPr/>
          <w:p>
            <w:pPr>
              <w:pStyle w:val="Compact"/>
            </w:pPr>
            <w:r>
              <w:t xml:space="preserve">100</w:t>
            </w:r>
          </w:p>
        </w:tc>
        <w:tc>
          <w:tcPr/>
          <w:p>
            <w:pPr>
              <w:pStyle w:val="Compact"/>
            </w:pPr>
            <w:r>
              <w:t xml:space="preserve">200</w:t>
            </w:r>
          </w:p>
        </w:tc>
      </w:tr>
      <w:tr>
        <w:tc>
          <w:tcPr/>
          <w:p>
            <w:pPr>
              <w:pStyle w:val="Compact"/>
            </w:pPr>
            <w:r>
              <w:t xml:space="preserve">Monthly rev per clinic</w:t>
            </w:r>
          </w:p>
        </w:tc>
        <w:tc>
          <w:tcPr/>
          <w:p>
            <w:pPr>
              <w:pStyle w:val="Compact"/>
            </w:pPr>
            <w:r>
              <w:t xml:space="preserve">$750</w:t>
            </w:r>
          </w:p>
        </w:tc>
        <w:tc>
          <w:tcPr/>
          <w:p>
            <w:pPr>
              <w:pStyle w:val="Compact"/>
            </w:pPr>
            <w:r>
              <w:t xml:space="preserve">$2,250</w:t>
            </w:r>
          </w:p>
        </w:tc>
        <w:tc>
          <w:tcPr/>
          <w:p>
            <w:pPr>
              <w:pStyle w:val="Compact"/>
            </w:pPr>
            <w:r>
              <w:t xml:space="preserve">$9,000</w:t>
            </w:r>
          </w:p>
        </w:tc>
      </w:tr>
      <w:tr>
        <w:tc>
          <w:tcPr/>
          <w:p>
            <w:pPr>
              <w:pStyle w:val="Compact"/>
            </w:pPr>
            <w:r>
              <w:t xml:space="preserve">Annual rev per clinic</w:t>
            </w:r>
          </w:p>
        </w:tc>
        <w:tc>
          <w:tcPr/>
          <w:p>
            <w:pPr>
              <w:pStyle w:val="Compact"/>
            </w:pPr>
            <w:r>
              <w:t xml:space="preserve">$9,000</w:t>
            </w:r>
          </w:p>
        </w:tc>
        <w:tc>
          <w:tcPr/>
          <w:p>
            <w:pPr>
              <w:pStyle w:val="Compact"/>
            </w:pPr>
            <w:r>
              <w:t xml:space="preserve">$27,000</w:t>
            </w:r>
          </w:p>
        </w:tc>
        <w:tc>
          <w:tcPr/>
          <w:p>
            <w:pPr>
              <w:pStyle w:val="Compact"/>
            </w:pPr>
            <w:r>
              <w:t xml:space="preserve">$108,000</w:t>
            </w:r>
          </w:p>
        </w:tc>
      </w:tr>
    </w:tbl>
    <w:p>
      <w:pPr>
        <w:pStyle w:val="BodyText"/>
      </w:pPr>
      <w:r>
        <w:rPr>
          <w:b/>
          <w:bCs/>
        </w:rPr>
        <w:t xml:space="preserve">Path to $1M ARR:</w:t>
      </w:r>
      <w:r>
        <w:t xml:space="preserve"> </w:t>
      </w:r>
      <w:r>
        <w:t xml:space="preserve">~37–111 active clinics at moderate volume. ~445 clinics at conservative volume.</w:t>
      </w:r>
    </w:p>
    <w:p>
      <w:r>
        <w:pict>
          <v:rect style="width:0;height:1.5pt" o:hralign="center" o:hrstd="t" o:hr="t"/>
        </w:pict>
      </w:r>
    </w:p>
    <w:bookmarkEnd w:id="28"/>
    <w:bookmarkEnd w:id="29"/>
    <w:bookmarkStart w:id="30"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pStyle w:val="Compact"/>
        <w:numPr>
          <w:ilvl w:val="0"/>
          <w:numId w:val="1013"/>
        </w:numPr>
      </w:pPr>
      <w:r>
        <w:rPr>
          <w:b/>
          <w:bCs/>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
          <w:bCs/>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“Wizard of Oz”</w:t>
      </w:r>
      <w:r>
        <w:t xml:space="preserve"> </w:t>
      </w:r>
      <w:r>
        <w:t xml:space="preserve">backend for catalog data is highly manageable because compounding prices change quarterly, not daily.</w:t>
      </w:r>
    </w:p>
    <w:p>
      <w:pPr>
        <w:pStyle w:val="Compact"/>
        <w:numPr>
          <w:ilvl w:val="0"/>
          <w:numId w:val="1013"/>
        </w:numPr>
      </w:pPr>
      <w:r>
        <w:rPr>
          <w:b/>
          <w:bCs/>
        </w:rPr>
        <w:t xml:space="preserve">“One More Login”</w:t>
      </w:r>
      <w:r>
        <w:rPr>
          <w:b/>
          <w:bCs/>
        </w:rPr>
        <w:t xml:space="preserve"> </w:t>
      </w:r>
      <w:r>
        <w:rPr>
          <w:b/>
          <w:bCs/>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
          <w:bCs/>
        </w:rPr>
        <w:t xml:space="preserve">30-second multi-Rx workflow + provider favorites + protocol templates</w:t>
      </w:r>
      <w:r>
        <w:t xml:space="preserve"> </w:t>
      </w:r>
      <w:r>
        <w:t xml:space="preserve">are the value proposition that justifies the separate login.</w:t>
      </w:r>
    </w:p>
    <w:p>
      <w:pPr>
        <w:pStyle w:val="Compact"/>
        <w:numPr>
          <w:ilvl w:val="0"/>
          <w:numId w:val="1013"/>
        </w:numPr>
      </w:pPr>
      <w:r>
        <w:rPr>
          <w:b/>
          <w:bCs/>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
          <w:bCs/>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pStyle w:val="Compact"/>
        <w:numPr>
          <w:ilvl w:val="0"/>
          <w:numId w:val="1013"/>
        </w:numPr>
      </w:pPr>
      <w:r>
        <w:rPr>
          <w:b/>
          <w:bCs/>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pStyle w:val="Compact"/>
        <w:numPr>
          <w:ilvl w:val="0"/>
          <w:numId w:val="1013"/>
        </w:numPr>
      </w:pPr>
      <w:r>
        <w:rPr>
          <w:b/>
          <w:bCs/>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
          <w:bCs/>
        </w:rPr>
        <w:t xml:space="preserve">CompoundIQ ships full EPCS 2FA today (Phase 19 / WO-86)</w:t>
      </w:r>
      <w:r>
        <w:t xml:space="preserve">: TOTP via otplib, AES-256-GCM encryption, immutable audit log, QR code enrollment, Schedule badges in UI.</w:t>
      </w:r>
    </w:p>
    <w:p>
      <w:pPr>
        <w:pStyle w:val="Compact"/>
        <w:numPr>
          <w:ilvl w:val="0"/>
          <w:numId w:val="1013"/>
        </w:numPr>
      </w:pPr>
      <w:r>
        <w:rPr>
          <w:b/>
          <w:bCs/>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
          <w:bCs/>
        </w:rPr>
        <w:t xml:space="preserve">three-layer recovery system</w:t>
      </w:r>
      <w:r>
        <w:t xml:space="preserve">: (1) daily Vercel cron at 5 AM UTC re-syncs all 4 accounts, (2)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(3) Vercel dashboard</w:t>
      </w:r>
      <w:r>
        <w:t xml:space="preserve"> </w:t>
      </w:r>
      <w:r>
        <w:t xml:space="preserve">“Run Now”</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30"/>
    <w:bookmarkStart w:id="33" w:name="Xf4e5c8ccc9c706281146bf272d0beb56061f9c1"/>
    <w:p>
      <w:pPr>
        <w:pStyle w:val="Heading2"/>
      </w:pPr>
      <w:r>
        <w:t xml:space="preserve">9. Go-To-Market: Solving the</w:t>
      </w:r>
      <w:r>
        <w:t xml:space="preserve"> </w:t>
      </w:r>
      <w:r>
        <w:t xml:space="preserve">“Chicken-and-Egg”</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31" w:name="the-gtm-solution"/>
    <w:p>
      <w:pPr>
        <w:pStyle w:val="Heading3"/>
      </w:pPr>
      <w:r>
        <w:t xml:space="preserve">The GTM Solution</w:t>
      </w:r>
    </w:p>
    <w:p>
      <w:pPr>
        <w:pStyle w:val="FirstParagraph"/>
      </w:pPr>
      <w:r>
        <w:rPr>
          <w:b/>
          <w:bCs/>
        </w:rPr>
        <w:t xml:space="preserve">Phase 1 —</w:t>
      </w:r>
      <w:r>
        <w:rPr>
          <w:b/>
          <w:bCs/>
        </w:rPr>
        <w:t xml:space="preserve"> </w:t>
      </w:r>
      <w:r>
        <w:rPr>
          <w:b/>
          <w:bCs/>
        </w:rPr>
        <w:t xml:space="preserve">“Wizard of Oz”</w:t>
      </w:r>
      <w:r>
        <w:rPr>
          <w:b/>
          <w:bCs/>
        </w:rPr>
        <w:t xml:space="preserve"> </w:t>
      </w:r>
      <w:r>
        <w:rPr>
          <w:b/>
          <w:bCs/>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
          <w:bCs/>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
          <w:bCs/>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
          <w:bCs/>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31"/>
    <w:bookmarkStart w:id="32" w:name="execution-tracks-ready-today"/>
    <w:p>
      <w:pPr>
        <w:pStyle w:val="Heading3"/>
      </w:pPr>
      <w:r>
        <w:t xml:space="preserve">Execution Tracks (Ready Today)</w:t>
      </w:r>
    </w:p>
    <w:tbl>
      <w:tblPr>
        <w:tblStyle w:val="Table"/>
        <w:tblW w:type="pct" w:w="5000"/>
        <w:tblLayout w:type="fixed"/>
        <w:tblLook w:firstRow="1" w:lastRow="0" w:firstColumn="0" w:lastColumn="0" w:noHBand="0" w:noVBand="0" w:val="0020"/>
      </w:tblPr>
      <w:tblGrid>
        <w:gridCol w:w="1680"/>
        <w:gridCol w:w="2400"/>
        <w:gridCol w:w="2400"/>
        <w:gridCol w:w="1440"/>
      </w:tblGrid>
      <w:tr>
        <w:trPr>
          <w:tblHeader w:val="on"/>
        </w:trPr>
        <w:tc>
          <w:tcPr/>
          <w:p>
            <w:pPr>
              <w:pStyle w:val="Compact"/>
            </w:pPr>
            <w:r>
              <w:t xml:space="preserve">Track</w:t>
            </w:r>
          </w:p>
        </w:tc>
        <w:tc>
          <w:tcPr/>
          <w:p>
            <w:pPr>
              <w:pStyle w:val="Compact"/>
            </w:pPr>
            <w:r>
              <w:t xml:space="preserve">Priority</w:t>
            </w:r>
          </w:p>
        </w:tc>
        <w:tc>
          <w:tcPr/>
          <w:p>
            <w:pPr>
              <w:pStyle w:val="Compact"/>
            </w:pPr>
            <w:r>
              <w:t xml:space="preserve">Timeline</w:t>
            </w:r>
          </w:p>
        </w:tc>
        <w:tc>
          <w:tcPr/>
          <w:p>
            <w:pPr>
              <w:pStyle w:val="Compact"/>
            </w:pPr>
            <w:r>
              <w:t xml:space="preserve">Cost</w:t>
            </w:r>
          </w:p>
        </w:tc>
      </w:tr>
      <w:tr>
        <w:tc>
          <w:tcPr/>
          <w:p>
            <w:pPr>
              <w:pStyle w:val="Compact"/>
            </w:pPr>
            <w:r>
              <w:rPr>
                <w:b/>
                <w:bCs/>
              </w:rPr>
              <w:t xml:space="preserve">LegitScript Certification</w:t>
            </w:r>
          </w:p>
        </w:tc>
        <w:tc>
          <w:tcPr/>
          <w:p>
            <w:pPr>
              <w:pStyle w:val="Compact"/>
            </w:pPr>
            <w:r>
              <w:t xml:space="preserve">CRITICAL — blocks payment processing compliance and all advertising</w:t>
            </w:r>
          </w:p>
        </w:tc>
        <w:tc>
          <w:tcPr/>
          <w:p>
            <w:pPr>
              <w:pStyle w:val="Compact"/>
            </w:pPr>
            <w:r>
              <w:t xml:space="preserve">2-4 weeks after application</w:t>
            </w:r>
          </w:p>
        </w:tc>
        <w:tc>
          <w:tcPr/>
          <w:p>
            <w:pPr>
              <w:pStyle w:val="Compact"/>
            </w:pPr>
            <w:r>
              <w:t xml:space="preserve">~$975 application + ~$1,295-$2,150/year</w:t>
            </w:r>
          </w:p>
        </w:tc>
      </w:tr>
      <w:tr>
        <w:tc>
          <w:tcPr/>
          <w:p>
            <w:pPr>
              <w:pStyle w:val="Compact"/>
            </w:pPr>
            <w:r>
              <w:rPr>
                <w:b/>
                <w:bCs/>
              </w:rPr>
              <w:t xml:space="preserve">Pharmacy Catalog Data Acquisition</w:t>
            </w:r>
          </w:p>
        </w:tc>
        <w:tc>
          <w:tcPr/>
          <w:p>
            <w:pPr>
              <w:pStyle w:val="Compact"/>
            </w:pPr>
            <w:r>
              <w:t xml:space="preserve">HIGH — platform needs real medication data</w:t>
            </w:r>
          </w:p>
        </w:tc>
        <w:tc>
          <w:tcPr/>
          <w:p>
            <w:pPr>
              <w:pStyle w:val="Compact"/>
            </w:pPr>
            <w:r>
              <w:t xml:space="preserve">Data flowing in 1-2 weeks</w:t>
            </w:r>
          </w:p>
        </w:tc>
        <w:tc>
          <w:tcPr/>
          <w:p>
            <w:pPr>
              <w:pStyle w:val="Compact"/>
            </w:pPr>
            <w:r>
              <w:t xml:space="preserve">$0 (outreach time only)</w:t>
            </w:r>
          </w:p>
        </w:tc>
      </w:tr>
      <w:tr>
        <w:tc>
          <w:tcPr/>
          <w:p>
            <w:pPr>
              <w:pStyle w:val="Compact"/>
            </w:pPr>
            <w:r>
              <w:rPr>
                <w:b/>
                <w:bCs/>
              </w:rPr>
              <w:t xml:space="preserve">Compliance Sign-Off</w:t>
            </w:r>
          </w:p>
        </w:tc>
        <w:tc>
          <w:tcPr/>
          <w:p>
            <w:pPr>
              <w:pStyle w:val="Compact"/>
            </w:pPr>
            <w:r>
              <w:t xml:space="preserve">MEDIUM — before production deployment</w:t>
            </w:r>
          </w:p>
        </w:tc>
        <w:tc>
          <w:tcPr/>
          <w:p>
            <w:pPr>
              <w:pStyle w:val="Compact"/>
            </w:pPr>
            <w:r>
              <w:t xml:space="preserve">1-2 days once reviewer engaged</w:t>
            </w:r>
          </w:p>
        </w:tc>
        <w:tc>
          <w:tcPr/>
          <w:p>
            <w:pPr>
              <w:pStyle w:val="Compac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32"/>
    <w:bookmarkEnd w:id="33"/>
    <w:bookmarkStart w:id="40" w:name="X978c719a050d25fea1ba1785748dfb748ca94b7"/>
    <w:p>
      <w:pPr>
        <w:pStyle w:val="Heading2"/>
      </w:pPr>
      <w:r>
        <w:t xml:space="preserve">10. The VC</w:t>
      </w:r>
      <w:r>
        <w:t xml:space="preserve"> </w:t>
      </w:r>
      <w:r>
        <w:t xml:space="preserve">“Firing Squad”</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34" w:name="q1-the-integration-question"/>
    <w:p>
      <w:pPr>
        <w:pStyle w:val="Heading3"/>
      </w:pPr>
      <w:r>
        <w:t xml:space="preserve">Q1: The Integration Question</w:t>
      </w:r>
    </w:p>
    <w:p>
      <w:pPr>
        <w:pStyle w:val="BlockText"/>
      </w:pPr>
      <w:r>
        <w:rPr>
          <w:i/>
          <w:iCs/>
        </w:rPr>
        <w:t xml:space="preserve">“Since mom-and-pop compounding pharmacies do not have modern APIs, how are you getting their real-time pricing and inventory data onto your dashboard for your MVP?”</w:t>
      </w:r>
    </w:p>
    <w:p>
      <w:pPr>
        <w:pStyle w:val="FirstParagraph"/>
      </w:pPr>
      <w:r>
        <w:rPr>
          <w:b/>
          <w:bCs/>
        </w:rPr>
        <w:t xml:space="preserve">The Strategy:</w:t>
      </w:r>
      <w:r>
        <w:t xml:space="preserve"> </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‘Route,’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p>
    <w:bookmarkEnd w:id="34"/>
    <w:bookmarkStart w:id="35" w:name="q2-the-disintermediation-risk"/>
    <w:p>
      <w:pPr>
        <w:pStyle w:val="Heading3"/>
      </w:pPr>
      <w:r>
        <w:t xml:space="preserve">Q2: The Disintermediation Risk</w:t>
      </w:r>
    </w:p>
    <w:p>
      <w:pPr>
        <w:pStyle w:val="BlockText"/>
      </w:pPr>
      <w:r>
        <w:rPr>
          <w:i/>
          <w:iCs/>
        </w:rPr>
        <w:t xml:space="preserve">“Once Dr. Gina uses your platform to find out that</w:t>
      </w:r>
      <w:r>
        <w:rPr>
          <w:i/>
          <w:iCs/>
        </w:rPr>
        <w:t xml:space="preserve"> </w:t>
      </w:r>
      <w:r>
        <w:rPr>
          <w:i/>
          <w:iCs/>
        </w:rPr>
        <w:t xml:space="preserve">‘Pharmacy X’</w:t>
      </w:r>
      <w:r>
        <w:rPr>
          <w:i/>
          <w:iCs/>
        </w:rPr>
        <w:t xml:space="preserve"> </w:t>
      </w:r>
      <w:r>
        <w:rPr>
          <w:i/>
          <w:iCs/>
        </w:rPr>
        <w:t xml:space="preserve">has the best price and turnaround time, what stops her from churning her SaaS subscription and just going direct?”</w:t>
      </w:r>
    </w:p>
    <w:p>
      <w:pPr>
        <w:pStyle w:val="FirstParagraph"/>
      </w:pPr>
      <w:r>
        <w:rPr>
          <w:b/>
          <w:bCs/>
        </w:rPr>
        <w:t xml:space="preserve">The Strategy:</w:t>
      </w:r>
      <w:r>
        <w:t xml:space="preserve"> </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‘finicky’</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p>
    <w:bookmarkEnd w:id="35"/>
    <w:bookmarkStart w:id="36" w:name="q3-the-emr-competitor-threat"/>
    <w:p>
      <w:pPr>
        <w:pStyle w:val="Heading3"/>
      </w:pPr>
      <w:r>
        <w:t xml:space="preserve">Q3: The EMR / Competitor Threat</w:t>
      </w:r>
    </w:p>
    <w:p>
      <w:pPr>
        <w:pStyle w:val="BlockText"/>
      </w:pPr>
      <w:r>
        <w:rPr>
          <w:i/>
          <w:iCs/>
        </w:rPr>
        <w:t xml:space="preserve">“What is your moat if dominant EMRs like Practice Better, or massive supplement platforms like Fullscript, build a compounding marketplace directly into their software?”</w:t>
      </w:r>
    </w:p>
    <w:p>
      <w:pPr>
        <w:pStyle w:val="FirstParagraph"/>
      </w:pPr>
      <w:r>
        <w:rPr>
          <w:b/>
          <w:bCs/>
        </w:rPr>
        <w:t xml:space="preserve">The Strategy:</w:t>
      </w:r>
      <w:r>
        <w:t xml:space="preserve"> </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‘Chart Parts’</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p>
    <w:bookmarkEnd w:id="36"/>
    <w:bookmarkStart w:id="37" w:name="q4-the-regulatory-shock"/>
    <w:p>
      <w:pPr>
        <w:pStyle w:val="Heading3"/>
      </w:pPr>
      <w:r>
        <w:t xml:space="preserve">Q4: The Regulatory Shock</w:t>
      </w:r>
    </w:p>
    <w:p>
      <w:pPr>
        <w:pStyle w:val="BlockText"/>
      </w:pPr>
      <w:r>
        <w:rPr>
          <w:i/>
          <w:iCs/>
        </w:rPr>
        <w:t xml:space="preserve">“A massive chunk of cash-pay compounding right now is driven by GLP-1s (Semaglutide). If the FDA bans the compounding of your top meds next month, does your business go to zero?”</w:t>
      </w:r>
    </w:p>
    <w:p>
      <w:pPr>
        <w:pStyle w:val="FirstParagraph"/>
      </w:pPr>
      <w:r>
        <w:rPr>
          <w:b/>
          <w:bCs/>
        </w:rPr>
        <w:t xml:space="preserve">The Strategy:</w:t>
      </w:r>
      <w:r>
        <w:t xml:space="preserve"> </w:t>
      </w:r>
      <w:r>
        <w:t xml:space="preserve">“We already lived through this. The FDA resolved the Semaglutide shortage in February 2025 and set enforcement deadlines — April 22 for 503A, May 22 for 503B. DrScript’s portal showed</w:t>
      </w:r>
      <w:r>
        <w:t xml:space="preserve"> </w:t>
      </w:r>
      <w:r>
        <w:t xml:space="preserve">‘ordering disabled’</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p>
    <w:bookmarkEnd w:id="37"/>
    <w:bookmarkStart w:id="38" w:name="q5-the-incentive-paradox"/>
    <w:p>
      <w:pPr>
        <w:pStyle w:val="Heading3"/>
      </w:pPr>
      <w:r>
        <w:t xml:space="preserve">Q5: The Incentive Paradox</w:t>
      </w:r>
    </w:p>
    <w:p>
      <w:pPr>
        <w:pStyle w:val="BlockText"/>
      </w:pPr>
      <w:r>
        <w:rPr>
          <w:i/>
          <w:iCs/>
        </w:rPr>
        <w:t xml:space="preserve">“Cash-pay clinics make a huge chunk of their revenue on opaque medication markups. If your platform drives</w:t>
      </w:r>
      <w:r>
        <w:rPr>
          <w:i/>
          <w:iCs/>
        </w:rPr>
        <w:t xml:space="preserve"> </w:t>
      </w:r>
      <w:r>
        <w:rPr>
          <w:i/>
          <w:iCs/>
        </w:rPr>
        <w:t xml:space="preserve">‘patient prices down,’</w:t>
      </w:r>
      <w:r>
        <w:rPr>
          <w:i/>
          <w:iCs/>
        </w:rPr>
        <w:t xml:space="preserve"> </w:t>
      </w:r>
      <w:r>
        <w:rPr>
          <w:i/>
          <w:iCs/>
        </w:rPr>
        <w:t xml:space="preserve">aren’t you destroying the doctor’s primary profit center?”</w:t>
      </w:r>
    </w:p>
    <w:p>
      <w:pPr>
        <w:pStyle w:val="FirstParagraph"/>
      </w:pPr>
      <w:r>
        <w:rPr>
          <w:b/>
          <w:bCs/>
        </w:rPr>
        <w:t xml:space="preserve">The Strategy:</w:t>
      </w:r>
      <w:r>
        <w:t xml:space="preserve"> </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p>
    <w:bookmarkEnd w:id="38"/>
    <w:bookmarkStart w:id="39" w:name="q6-the-data-model-complexity"/>
    <w:p>
      <w:pPr>
        <w:pStyle w:val="Heading3"/>
      </w:pPr>
      <w:r>
        <w:t xml:space="preserve">Q6: The Data Model Complexity</w:t>
      </w:r>
    </w:p>
    <w:p>
      <w:pPr>
        <w:pStyle w:val="BlockText"/>
      </w:pPr>
      <w:r>
        <w:rPr>
          <w:i/>
          <w:iCs/>
        </w:rPr>
        <w:t xml:space="preserve">“Compounded medications have enormous combinatorial complexity — how do you handle the catalog when a single medication like Testosterone has 500+ valid configurations?”</w:t>
      </w:r>
    </w:p>
    <w:p>
      <w:pPr>
        <w:pStyle w:val="FirstParagraph"/>
      </w:pPr>
      <w:r>
        <w:rPr>
          <w:b/>
          <w:bCs/>
        </w:rPr>
        <w:t xml:space="preserve">The Strategy:</w:t>
      </w:r>
      <w:r>
        <w:t xml:space="preserve"> </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‘Testosterone,’</w:t>
      </w:r>
      <w:r>
        <w:t xml:space="preserve"> </w:t>
      </w:r>
      <w:r>
        <w:t xml:space="preserve">the system shows only available salt forms (Cypionate, Enanthate, Propionate, free base). Selecting</w:t>
      </w:r>
      <w:r>
        <w:t xml:space="preserve"> </w:t>
      </w:r>
      <w:r>
        <w:t xml:space="preserve">‘Cypionate’</w:t>
      </w:r>
      <w:r>
        <w:t xml:space="preserve"> </w:t>
      </w:r>
      <w:r>
        <w:t xml:space="preserve">shows only available dosage forms (injectable, cream). Selecting</w:t>
      </w:r>
      <w:r>
        <w:t xml:space="preserve"> </w:t>
      </w:r>
      <w:r>
        <w:t xml:space="preserve">‘Injectable’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
          <w:bCs/>
        </w:rPr>
        <w:t xml:space="preserve">No competing compounding platform uses this pattern today. We are the first.</w:t>
      </w:r>
      <w:r>
        <w:t xml:space="preserve">”</w:t>
      </w:r>
    </w:p>
    <w:p>
      <w:r>
        <w:pict>
          <v:rect style="width:0;height:1.5pt" o:hralign="center" o:hrstd="t" o:hr="t"/>
        </w:pict>
      </w:r>
    </w:p>
    <w:bookmarkEnd w:id="39"/>
    <w:bookmarkEnd w:id="40"/>
    <w:bookmarkStart w:id="43"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41" w:name="data-protection"/>
    <w:p>
      <w:pPr>
        <w:pStyle w:val="Heading3"/>
      </w:pPr>
      <w:r>
        <w:t xml:space="preserve">Data Protection</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Control</w:t>
            </w:r>
          </w:p>
        </w:tc>
        <w:tc>
          <w:tcPr/>
          <w:p>
            <w:pPr>
              <w:pStyle w:val="Compact"/>
            </w:pPr>
            <w:r>
              <w:t xml:space="preserve">Implementation</w:t>
            </w:r>
          </w:p>
        </w:tc>
      </w:tr>
      <w:tr>
        <w:tc>
          <w:tcPr/>
          <w:p>
            <w:pPr>
              <w:pStyle w:val="Compact"/>
            </w:pPr>
            <w:r>
              <w:t xml:space="preserve">Data at rest</w:t>
            </w:r>
          </w:p>
        </w:tc>
        <w:tc>
          <w:tcPr/>
          <w:p>
            <w:pPr>
              <w:pStyle w:val="Compact"/>
            </w:pPr>
            <w:r>
              <w:t xml:space="preserve">AES-256 encryption (Supabase-managed)</w:t>
            </w:r>
          </w:p>
        </w:tc>
      </w:tr>
      <w:tr>
        <w:tc>
          <w:tcPr/>
          <w:p>
            <w:pPr>
              <w:pStyle w:val="Compact"/>
            </w:pPr>
            <w:r>
              <w:t xml:space="preserve">Data in transit</w:t>
            </w:r>
          </w:p>
        </w:tc>
        <w:tc>
          <w:tcPr/>
          <w:p>
            <w:pPr>
              <w:pStyle w:val="Compact"/>
            </w:pPr>
            <w:r>
              <w:t xml:space="preserve">TLS 1.2+ on all connections</w:t>
            </w:r>
          </w:p>
        </w:tc>
      </w:tr>
      <w:tr>
        <w:tc>
          <w:tcPr/>
          <w:p>
            <w:pPr>
              <w:pStyle w:val="Compact"/>
            </w:pPr>
            <w:r>
              <w:t xml:space="preserve">Credential storage</w:t>
            </w:r>
          </w:p>
        </w:tc>
        <w:tc>
          <w:tcPr/>
          <w:p>
            <w:pPr>
              <w:pStyle w:val="Compact"/>
            </w:pPr>
            <w:r>
              <w:t xml:space="preserve">Supabase Vault (AES-256-GCM) — never plaintext</w:t>
            </w:r>
          </w:p>
        </w:tc>
      </w:tr>
      <w:tr>
        <w:tc>
          <w:tcPr/>
          <w:p>
            <w:pPr>
              <w:pStyle w:val="Compact"/>
            </w:pPr>
            <w:r>
              <w:t xml:space="preserve">EPCS TOTP secrets</w:t>
            </w:r>
          </w:p>
        </w:tc>
        <w:tc>
          <w:tcPr/>
          <w:p>
            <w:pPr>
              <w:pStyle w:val="Compact"/>
            </w:pPr>
            <w:r>
              <w:t xml:space="preserve">AES-256-GCM encryption (separate from session secrets)</w:t>
            </w:r>
          </w:p>
        </w:tc>
      </w:tr>
      <w:tr>
        <w:tc>
          <w:tcPr/>
          <w:p>
            <w:pPr>
              <w:pStyle w:val="Compact"/>
            </w:pPr>
            <w:r>
              <w:t xml:space="preserve">Access control</w:t>
            </w:r>
          </w:p>
        </w:tc>
        <w:tc>
          <w:tcPr/>
          <w:p>
            <w:pPr>
              <w:pStyle w:val="Compact"/>
            </w:pPr>
            <w:r>
              <w:rPr>
                <w:b/>
                <w:bCs/>
              </w:rPr>
              <w:t xml:space="preserve">Row-Level Security on all 33 tables</w:t>
            </w:r>
          </w:p>
        </w:tc>
      </w:tr>
      <w:tr>
        <w:tc>
          <w:tcPr/>
          <w:p>
            <w:pPr>
              <w:pStyle w:val="Compact"/>
            </w:pPr>
            <w:r>
              <w:t xml:space="preserve">Session management</w:t>
            </w:r>
          </w:p>
        </w:tc>
        <w:tc>
          <w:tcPr/>
          <w:p>
            <w:pPr>
              <w:pStyle w:val="Compact"/>
            </w:pPr>
            <w:r>
              <w:t xml:space="preserve">30-min idle timeout, 12-hour absolute max</w:t>
            </w:r>
          </w:p>
        </w:tc>
      </w:tr>
      <w:tr>
        <w:tc>
          <w:tcPr/>
          <w:p>
            <w:pPr>
              <w:pStyle w:val="Compact"/>
            </w:pPr>
            <w:r>
              <w:t xml:space="preserve">Audit trail</w:t>
            </w:r>
          </w:p>
        </w:tc>
        <w:tc>
          <w:tcPr/>
          <w:p>
            <w:pPr>
              <w:pStyle w:val="Compact"/>
            </w:pPr>
            <w:r>
              <w:t xml:space="preserve">Append-only tables for all state transitions + EPCS audit log</w:t>
            </w:r>
          </w:p>
        </w:tc>
      </w:tr>
      <w:tr>
        <w:tc>
          <w:tcPr/>
          <w:p>
            <w:pPr>
              <w:pStyle w:val="Compact"/>
            </w:pPr>
            <w:r>
              <w:t xml:space="preserve">PHI in Stripe</w:t>
            </w:r>
          </w:p>
        </w:tc>
        <w:tc>
          <w:tcPr/>
          <w:p>
            <w:pPr>
              <w:pStyle w:val="Compact"/>
            </w:pPr>
            <w:r>
              <w:t xml:space="preserve">ZERO — metadata contains order_id only</w:t>
            </w:r>
          </w:p>
        </w:tc>
      </w:tr>
      <w:tr>
        <w:tc>
          <w:tcPr/>
          <w:p>
            <w:pPr>
              <w:pStyle w:val="Compact"/>
            </w:pPr>
            <w:r>
              <w:t xml:space="preserve">PHI in SMS</w:t>
            </w:r>
          </w:p>
        </w:tc>
        <w:tc>
          <w:tcPr/>
          <w:p>
            <w:pPr>
              <w:pStyle w:val="Compact"/>
            </w:pPr>
            <w:r>
              <w:t xml:space="preserve">Minimal — first name + URL only, never medication names</w:t>
            </w:r>
          </w:p>
        </w:tc>
      </w:tr>
      <w:tr>
        <w:tc>
          <w:tcPr/>
          <w:p>
            <w:pPr>
              <w:pStyle w:val="Compact"/>
            </w:pPr>
            <w:r>
              <w:t xml:space="preserve">PHI in monitoring</w:t>
            </w:r>
          </w:p>
        </w:tc>
        <w:tc>
          <w:tcPr/>
          <w:p>
            <w:pPr>
              <w:pStyle w:val="Compact"/>
            </w:pPr>
            <w:r>
              <w:t xml:space="preserve">Sentry beforeSend scrubs all PHI before transmission</w:t>
            </w:r>
          </w:p>
        </w:tc>
      </w:tr>
      <w:tr>
        <w:tc>
          <w:tcPr/>
          <w:p>
            <w:pPr>
              <w:pStyle w:val="Compact"/>
            </w:pPr>
            <w:r>
              <w:t xml:space="preserve">Supabase Realtime</w:t>
            </w:r>
          </w:p>
        </w:tc>
        <w:tc>
          <w:tcPr/>
          <w:p>
            <w:pPr>
              <w:pStyle w:val="Compact"/>
            </w:pPr>
            <w:r>
              <w:t xml:space="preserve">DISABLED — HIPAA requirement (prevents PHI leaks via WebSocket)</w:t>
            </w:r>
          </w:p>
        </w:tc>
      </w:tr>
      <w:tr>
        <w:tc>
          <w:tcPr/>
          <w:p>
            <w:pPr>
              <w:pStyle w:val="Compact"/>
            </w:pPr>
            <w:r>
              <w:t xml:space="preserve">Cron endpoint auth</w:t>
            </w:r>
          </w:p>
        </w:tc>
        <w:tc>
          <w:tcPr/>
          <w:p>
            <w:pPr>
              <w:pStyle w:val="Compact"/>
            </w:pPr>
            <w:r>
              <w:t xml:space="preserve">CRON_SECRET bearer token on all 10 cron jobs</w:t>
            </w:r>
          </w:p>
        </w:tc>
      </w:tr>
    </w:tbl>
    <w:bookmarkEnd w:id="41"/>
    <w:bookmarkStart w:id="42" w:name="regulatory-compliance-readiness"/>
    <w:p>
      <w:pPr>
        <w:pStyle w:val="Heading3"/>
      </w:pPr>
      <w:r>
        <w:t xml:space="preserve">Regulatory Compliance Readiness</w:t>
      </w:r>
    </w:p>
    <w:tbl>
      <w:tblPr>
        <w:tblStyle w:val="Table"/>
        <w:tblW w:type="pct" w:w="5000"/>
        <w:tblLayout w:type="fixed"/>
        <w:tblLook w:firstRow="1" w:lastRow="0" w:firstColumn="0" w:lastColumn="0" w:noHBand="0" w:noVBand="0" w:val="0020"/>
      </w:tblPr>
      <w:tblGrid>
        <w:gridCol w:w="4902"/>
        <w:gridCol w:w="3017"/>
      </w:tblGrid>
      <w:tr>
        <w:trPr>
          <w:tblHeader w:val="on"/>
        </w:trPr>
        <w:tc>
          <w:tcPr/>
          <w:p>
            <w:pPr>
              <w:pStyle w:val="Compact"/>
            </w:pPr>
            <w:r>
              <w:t xml:space="preserve">Requirement</w:t>
            </w:r>
          </w:p>
        </w:tc>
        <w:tc>
          <w:tcPr/>
          <w:p>
            <w:pPr>
              <w:pStyle w:val="Compact"/>
            </w:pPr>
            <w:r>
              <w:t xml:space="preserve">Status</w:t>
            </w:r>
          </w:p>
        </w:tc>
      </w:tr>
      <w:tr>
        <w:tc>
          <w:tcPr/>
          <w:p>
            <w:pPr>
              <w:pStyle w:val="Compact"/>
            </w:pPr>
            <w:r>
              <w:t xml:space="preserve">HIPAA-adjacent architecture</w:t>
            </w:r>
          </w:p>
        </w:tc>
        <w:tc>
          <w:tcPr/>
          <w:p>
            <w:pPr>
              <w:pStyle w:val="Compact"/>
            </w:pPr>
            <w:r>
              <w:rPr>
                <w:b/>
                <w:bCs/>
              </w:rPr>
              <w:t xml:space="preserve">Implemented</w:t>
            </w:r>
            <w:r>
              <w:t xml:space="preserve"> </w:t>
            </w:r>
            <w:r>
              <w:t xml:space="preserve">(RLS, Vault, zero-PHI in Stripe/Sentry)</w:t>
            </w:r>
          </w:p>
        </w:tc>
      </w:tr>
      <w:tr>
        <w:tc>
          <w:tcPr/>
          <w:p>
            <w:pPr>
              <w:pStyle w:val="Compact"/>
            </w:pPr>
            <w:r>
              <w:t xml:space="preserve">BAA coverage</w:t>
            </w:r>
          </w:p>
        </w:tc>
        <w:tc>
          <w:tcPr/>
          <w:p>
            <w:pPr>
              <w:pStyle w:val="Compact"/>
            </w:pPr>
            <w:r>
              <w:t xml:space="preserve">Required with Supabase, Stripe, Twilio, Documo, Vercel, Sentry</w:t>
            </w:r>
          </w:p>
        </w:tc>
      </w:tr>
      <w:tr>
        <w:tc>
          <w:tcPr/>
          <w:p>
            <w:pPr>
              <w:pStyle w:val="Compact"/>
            </w:pPr>
            <w:r>
              <w:t xml:space="preserve">LegitScript certification</w:t>
            </w:r>
          </w:p>
        </w:tc>
        <w:tc>
          <w:tcPr/>
          <w:p>
            <w:pPr>
              <w:pStyle w:val="Compact"/>
            </w:pPr>
            <w:r>
              <w:t xml:space="preserve">Application ready (Track 1 of business action plan)</w:t>
            </w:r>
          </w:p>
        </w:tc>
      </w:tr>
      <w:tr>
        <w:tc>
          <w:tcPr/>
          <w:p>
            <w:pPr>
              <w:pStyle w:val="Compact"/>
            </w:pPr>
            <w:r>
              <w:rPr>
                <w:b/>
                <w:bCs/>
              </w:rPr>
              <w:t xml:space="preserve">EPCS for controlled substances</w:t>
            </w:r>
          </w:p>
        </w:tc>
        <w:tc>
          <w:tcPr/>
          <w:p>
            <w:pPr>
              <w:pStyle w:val="Compact"/>
            </w:pPr>
            <w:r>
              <w:rPr>
                <w:b/>
                <w:bCs/>
              </w:rPr>
              <w:t xml:space="preserve">SHIPPED (Phase 19)</w:t>
            </w:r>
            <w:r>
              <w:t xml:space="preserve"> </w:t>
            </w:r>
            <w:r>
              <w:t xml:space="preserve">— TOTP, AES-256-GCM, immutable audit log, DEA 21 CFR 1311</w:t>
            </w:r>
          </w:p>
        </w:tc>
      </w:tr>
      <w:tr>
        <w:tc>
          <w:tcPr/>
          <w:p>
            <w:pPr>
              <w:pStyle w:val="Compact"/>
            </w:pPr>
            <w:r>
              <w:rPr>
                <w:b/>
                <w:bCs/>
              </w:rPr>
              <w:t xml:space="preserve">DEA pre-signing review screen</w:t>
            </w:r>
          </w:p>
        </w:tc>
        <w:tc>
          <w:tcPr/>
          <w:p>
            <w:pPr>
              <w:pStyle w:val="Compact"/>
            </w:pPr>
            <w:r>
              <w:rPr>
                <w:b/>
                <w:bCs/>
              </w:rPr>
              <w:t xml:space="preserve">SHIPPED</w:t>
            </w:r>
            <w:r>
              <w:t xml:space="preserve"> </w:t>
            </w:r>
            <w:r>
              <w:t xml:space="preserve">— modal renders before signing with Schedule badges + clinical guidance</w:t>
            </w:r>
          </w:p>
        </w:tc>
      </w:tr>
      <w:tr>
        <w:tc>
          <w:tcPr/>
          <w:p>
            <w:pPr>
              <w:pStyle w:val="Compact"/>
            </w:pPr>
            <w:r>
              <w:t xml:space="preserve">State licensing compliance</w:t>
            </w:r>
          </w:p>
        </w:tc>
        <w:tc>
          <w:tcPr/>
          <w:p>
            <w:pPr>
              <w:pStyle w:val="Compact"/>
            </w:pPr>
            <w:r>
              <w:t xml:space="preserve">Implemented (pharmacy_state_licenses table filters search results)</w:t>
            </w:r>
          </w:p>
        </w:tc>
      </w:tr>
      <w:tr>
        <w:tc>
          <w:tcPr/>
          <w:p>
            <w:pPr>
              <w:pStyle w:val="Compact"/>
            </w:pPr>
            <w:r>
              <w:rPr>
                <w:b/>
                <w:bCs/>
              </w:rPr>
              <w:t xml:space="preserve">Drug interaction alerts</w:t>
            </w:r>
          </w:p>
        </w:tc>
        <w:tc>
          <w:tcPr/>
          <w:p>
            <w:pPr>
              <w:pStyle w:val="Compact"/>
            </w:pPr>
            <w:r>
              <w:rPr>
                <w:b/>
                <w:bCs/>
              </w:rPr>
              <w:t xml:space="preserve">SHIPPED</w:t>
            </w:r>
            <w:r>
              <w:t xml:space="preserve"> </w:t>
            </w:r>
            <w:r>
              <w:t xml:space="preserve">— 6 seeded pairs, severity coding, clinical guidance text</w:t>
            </w:r>
          </w:p>
        </w:tc>
      </w:tr>
      <w:tr>
        <w:tc>
          <w:tcPr/>
          <w:p>
            <w:pPr>
              <w:pStyle w:val="Compact"/>
            </w:pPr>
            <w:r>
              <w:rPr>
                <w:b/>
                <w:bCs/>
              </w:rPr>
              <w:t xml:space="preserve">Patient protocol phases</w:t>
            </w:r>
          </w:p>
        </w:tc>
        <w:tc>
          <w:tcPr/>
          <w:p>
            <w:pPr>
              <w:pStyle w:val="Compact"/>
            </w:pPr>
            <w:r>
              <w:rPr>
                <w:b/>
                <w:bCs/>
              </w:rPr>
              <w:t xml:space="preserve">SHIPPED</w:t>
            </w:r>
            <w:r>
              <w:t xml:space="preserve"> </w:t>
            </w:r>
            <w:r>
              <w:t xml:space="preserve">— append-only history, gated phase advancement</w:t>
            </w:r>
          </w:p>
        </w:tc>
      </w:tr>
      <w:tr>
        <w:tc>
          <w:tcPr/>
          <w:p>
            <w:pPr>
              <w:pStyle w:val="Compact"/>
            </w:pPr>
            <w:r>
              <w:t xml:space="preserve">Immutable audit trails</w:t>
            </w:r>
          </w:p>
        </w:tc>
        <w:tc>
          <w:tcPr/>
          <w:p>
            <w:pPr>
              <w:pStyle w:val="Compact"/>
            </w:pPr>
            <w:r>
              <w:t xml:space="preserve">Implemented (order_status_history + snapshot triggers + EPCS audit log)</w:t>
            </w:r>
          </w:p>
        </w:tc>
      </w:tr>
      <w:tr>
        <w:tc>
          <w:tcPr/>
          <w:p>
            <w:pPr>
              <w:pStyle w:val="Compact"/>
            </w:pPr>
            <w:r>
              <w:t xml:space="preserve">Security audit</w:t>
            </w:r>
          </w:p>
        </w:tc>
        <w:tc>
          <w:tcPr/>
          <w:p>
            <w:pPr>
              <w:pStyle w:val="Compact"/>
            </w:pPr>
            <w:r>
              <w:t xml:space="preserve">Completed (0 vulnerabilities remaining)</w:t>
            </w:r>
          </w:p>
        </w:tc>
      </w:tr>
    </w:tbl>
    <w:p>
      <w:r>
        <w:pict>
          <v:rect style="width:0;height:1.5pt" o:hralign="center" o:hrstd="t" o:hr="t"/>
        </w:pict>
      </w:r>
    </w:p>
    <w:bookmarkEnd w:id="42"/>
    <w:bookmarkEnd w:id="43"/>
    <w:bookmarkStart w:id="48" w:name="product-roadmap-whats-next"/>
    <w:p>
      <w:pPr>
        <w:pStyle w:val="Heading2"/>
      </w:pPr>
      <w:r>
        <w:t xml:space="preserve">12. Product Roadmap — What’s Next</w:t>
      </w:r>
    </w:p>
    <w:bookmarkStart w:id="44"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pStyle w:val="Compact"/>
        <w:numPr>
          <w:ilvl w:val="0"/>
          <w:numId w:val="1014"/>
        </w:numPr>
      </w:pPr>
      <w:r>
        <w:t xml:space="preserve">✅ V3.0 hierarchical data model (Phase 17 / WO-82)</w:t>
      </w:r>
    </w:p>
    <w:p>
      <w:pPr>
        <w:pStyle w:val="Compact"/>
        <w:numPr>
          <w:ilvl w:val="0"/>
          <w:numId w:val="1014"/>
        </w:numPr>
      </w:pPr>
      <w:r>
        <w:t xml:space="preserve">✅ Cascading dropdown prescription builder with structured sig (Phase 17 / WO-83)</w:t>
      </w:r>
    </w:p>
    <w:p>
      <w:pPr>
        <w:pStyle w:val="Compact"/>
        <w:numPr>
          <w:ilvl w:val="0"/>
          <w:numId w:val="1014"/>
        </w:numPr>
      </w:pPr>
      <w:r>
        <w:t xml:space="preserve">✅ Provider favorites and clinic protocol templates (Phase 18 / WO-85)</w:t>
      </w:r>
    </w:p>
    <w:p>
      <w:pPr>
        <w:pStyle w:val="Compact"/>
        <w:numPr>
          <w:ilvl w:val="0"/>
          <w:numId w:val="1014"/>
        </w:numPr>
      </w:pPr>
      <w:r>
        <w:t xml:space="preserve">✅ EPCS 2FA for controlled substances (Phase 19 / WO-86)</w:t>
      </w:r>
    </w:p>
    <w:p>
      <w:pPr>
        <w:pStyle w:val="Compact"/>
        <w:numPr>
          <w:ilvl w:val="0"/>
          <w:numId w:val="1014"/>
        </w:numPr>
      </w:pPr>
      <w:r>
        <w:t xml:space="preserve">✅ Drug interaction alerts with clinical guidance (Phase 19)</w:t>
      </w:r>
    </w:p>
    <w:p>
      <w:pPr>
        <w:pStyle w:val="Compact"/>
        <w:numPr>
          <w:ilvl w:val="0"/>
          <w:numId w:val="1014"/>
        </w:numPr>
      </w:pPr>
      <w:r>
        <w:t xml:space="preserve">✅ Patient protocol phase management (Phase 19)</w:t>
      </w:r>
    </w:p>
    <w:p>
      <w:pPr>
        <w:pStyle w:val="Compact"/>
        <w:numPr>
          <w:ilvl w:val="0"/>
          <w:numId w:val="1014"/>
        </w:numPr>
      </w:pPr>
      <w:r>
        <w:t xml:space="preserve">✅ Save-as-Draft + Provider Signature Queue (Phase 16 / WO-77)</w:t>
      </w:r>
    </w:p>
    <w:p>
      <w:pPr>
        <w:pStyle w:val="Compact"/>
        <w:numPr>
          <w:ilvl w:val="0"/>
          <w:numId w:val="1014"/>
        </w:numPr>
      </w:pPr>
      <w:r>
        <w:t xml:space="preserve">✅ Multi-Rx session with single-signature batch send (Phase 16 / WO-80)</w:t>
      </w:r>
    </w:p>
    <w:p>
      <w:pPr>
        <w:pStyle w:val="Compact"/>
        <w:numPr>
          <w:ilvl w:val="0"/>
          <w:numId w:val="1014"/>
        </w:numPr>
      </w:pPr>
      <w:r>
        <w:t xml:space="preserve">✅ Demo credential drift remediation (Phase 19 hotfix / WO-87)</w:t>
      </w:r>
    </w:p>
    <w:bookmarkEnd w:id="44"/>
    <w:bookmarkStart w:id="45" w:name="near-term-current-execution"/>
    <w:p>
      <w:pPr>
        <w:pStyle w:val="Heading3"/>
      </w:pPr>
      <w:r>
        <w:t xml:space="preserve">Near-Term (Current Execution)</w:t>
      </w:r>
    </w:p>
    <w:p>
      <w:pPr>
        <w:pStyle w:val="Compact"/>
        <w:numPr>
          <w:ilvl w:val="0"/>
          <w:numId w:val="1015"/>
        </w:numPr>
      </w:pPr>
      <w:r>
        <w:t xml:space="preserve">Onboard 2-3 design partner clinics for beta testing</w:t>
      </w:r>
    </w:p>
    <w:p>
      <w:pPr>
        <w:pStyle w:val="Compact"/>
        <w:numPr>
          <w:ilvl w:val="0"/>
          <w:numId w:val="1015"/>
        </w:numPr>
      </w:pPr>
      <w:r>
        <w:t xml:space="preserve">Activate Twilio SMS for real patient notifications</w:t>
      </w:r>
    </w:p>
    <w:p>
      <w:pPr>
        <w:pStyle w:val="Compact"/>
        <w:numPr>
          <w:ilvl w:val="0"/>
          <w:numId w:val="1015"/>
        </w:numPr>
      </w:pPr>
      <w:r>
        <w:t xml:space="preserve">Activate Documo fax for real pharmacy submissions</w:t>
      </w:r>
    </w:p>
    <w:p>
      <w:pPr>
        <w:pStyle w:val="Compact"/>
        <w:numPr>
          <w:ilvl w:val="0"/>
          <w:numId w:val="1015"/>
        </w:numPr>
      </w:pPr>
      <w:r>
        <w:t xml:space="preserve">Complete Stripe Connect onboarding for first clinic</w:t>
      </w:r>
    </w:p>
    <w:p>
      <w:pPr>
        <w:pStyle w:val="Compact"/>
        <w:numPr>
          <w:ilvl w:val="0"/>
          <w:numId w:val="1015"/>
        </w:numPr>
      </w:pPr>
      <w:r>
        <w:t xml:space="preserve">Submit LegitScript certification application</w:t>
      </w:r>
    </w:p>
    <w:p>
      <w:pPr>
        <w:pStyle w:val="Compact"/>
        <w:numPr>
          <w:ilvl w:val="0"/>
          <w:numId w:val="1015"/>
        </w:numPr>
      </w:pPr>
      <w:r>
        <w:t xml:space="preserve">Begin pharmacy catalog data acquisition (top 20 pharmacies)</w:t>
      </w:r>
    </w:p>
    <w:p>
      <w:pPr>
        <w:pStyle w:val="Compact"/>
        <w:numPr>
          <w:ilvl w:val="0"/>
          <w:numId w:val="1015"/>
        </w:numPr>
      </w:pPr>
      <w:r>
        <w:t xml:space="preserve">Backlog: 5 remaining work orders (LegitScript automation, conference materials, pharmacy outreach playbook, etc.)</w:t>
      </w:r>
    </w:p>
    <w:bookmarkEnd w:id="45"/>
    <w:bookmarkStart w:id="46" w:name="medium-term"/>
    <w:p>
      <w:pPr>
        <w:pStyle w:val="Heading3"/>
      </w:pPr>
      <w:r>
        <w:t xml:space="preserve">Medium-Term</w:t>
      </w:r>
    </w:p>
    <w:p>
      <w:pPr>
        <w:pStyle w:val="Compact"/>
        <w:numPr>
          <w:ilvl w:val="0"/>
          <w:numId w:val="1016"/>
        </w:numPr>
      </w:pPr>
      <w:r>
        <w:t xml:space="preserve">LifeFile API integration (unlocks Empower, Belmar, UCP, Strive)</w:t>
      </w:r>
    </w:p>
    <w:p>
      <w:pPr>
        <w:pStyle w:val="Compact"/>
        <w:numPr>
          <w:ilvl w:val="0"/>
          <w:numId w:val="1016"/>
        </w:numPr>
      </w:pPr>
      <w:r>
        <w:t xml:space="preserve">Tier 2 portal automation for Olympia and Wells</w:t>
      </w:r>
    </w:p>
    <w:p>
      <w:pPr>
        <w:pStyle w:val="Compact"/>
        <w:numPr>
          <w:ilvl w:val="0"/>
          <w:numId w:val="1016"/>
        </w:numPr>
      </w:pPr>
      <w:r>
        <w:t xml:space="preserve">Titration kit ordering (auto-generates titration sigs from structured fields — partial implementation today)</w:t>
      </w:r>
    </w:p>
    <w:p>
      <w:pPr>
        <w:pStyle w:val="Compact"/>
        <w:numPr>
          <w:ilvl w:val="0"/>
          <w:numId w:val="1016"/>
        </w:numPr>
      </w:pPr>
      <w:r>
        <w:t xml:space="preserve">Multi-phase protocol advancement gated on lab results</w:t>
      </w:r>
    </w:p>
    <w:p>
      <w:pPr>
        <w:pStyle w:val="Compact"/>
        <w:numPr>
          <w:ilvl w:val="0"/>
          <w:numId w:val="1016"/>
        </w:numPr>
      </w:pPr>
      <w:r>
        <w:t xml:space="preserve">Native Cerbo EHR integration</w:t>
      </w:r>
    </w:p>
    <w:p>
      <w:pPr>
        <w:pStyle w:val="Compact"/>
        <w:numPr>
          <w:ilvl w:val="0"/>
          <w:numId w:val="1016"/>
        </w:numPr>
      </w:pPr>
      <w:r>
        <w:t xml:space="preserve">HSA/FSA gateway integration</w:t>
      </w:r>
    </w:p>
    <w:bookmarkEnd w:id="46"/>
    <w:bookmarkStart w:id="47" w:name="long-term"/>
    <w:p>
      <w:pPr>
        <w:pStyle w:val="Heading3"/>
      </w:pPr>
      <w:r>
        <w:t xml:space="preserve">Long-Term</w:t>
      </w:r>
    </w:p>
    <w:p>
      <w:pPr>
        <w:pStyle w:val="Compact"/>
        <w:numPr>
          <w:ilvl w:val="0"/>
          <w:numId w:val="1017"/>
        </w:numPr>
      </w:pPr>
      <w:r>
        <w:t xml:space="preserve">Publish Tier 3 API specification for pharmacy self-onboarding</w:t>
      </w:r>
    </w:p>
    <w:p>
      <w:pPr>
        <w:pStyle w:val="Compact"/>
        <w:numPr>
          <w:ilvl w:val="0"/>
          <w:numId w:val="1017"/>
        </w:numPr>
      </w:pPr>
      <w:r>
        <w:t xml:space="preserve">Scale to 50+ pharmacy partners across all 4 tiers</w:t>
      </w:r>
    </w:p>
    <w:p>
      <w:pPr>
        <w:pStyle w:val="Compact"/>
        <w:numPr>
          <w:ilvl w:val="0"/>
          <w:numId w:val="1017"/>
        </w:numPr>
      </w:pPr>
      <w:r>
        <w:t xml:space="preserve">PDMP reporting integration for controlled substances</w:t>
      </w:r>
    </w:p>
    <w:p>
      <w:pPr>
        <w:pStyle w:val="Compact"/>
        <w:numPr>
          <w:ilvl w:val="0"/>
          <w:numId w:val="1017"/>
        </w:numPr>
      </w:pPr>
      <w:r>
        <w:t xml:space="preserve">Analytics and reporting dashboard for clinic revenue optimization</w:t>
      </w:r>
    </w:p>
    <w:p>
      <w:pPr>
        <w:pStyle w:val="Compact"/>
        <w:numPr>
          <w:ilvl w:val="0"/>
          <w:numId w:val="1017"/>
        </w:numPr>
      </w:pPr>
      <w:r>
        <w:t xml:space="preserve">Native mobile apps for providers (Cerbo + Charm integration)</w:t>
      </w:r>
    </w:p>
    <w:p>
      <w:r>
        <w:pict>
          <v:rect style="width:0;height:1.5pt" o:hralign="center" o:hrstd="t" o:hr="t"/>
        </w:pict>
      </w:r>
    </w:p>
    <w:bookmarkEnd w:id="47"/>
    <w:bookmarkEnd w:id="48"/>
    <w:bookmarkStart w:id="54" w:name="financial-projections-key-metrics"/>
    <w:p>
      <w:pPr>
        <w:pStyle w:val="Heading2"/>
      </w:pPr>
      <w:r>
        <w:t xml:space="preserve">13. Financial Projections &amp; Key Metrics</w:t>
      </w:r>
    </w:p>
    <w:bookmarkStart w:id="49"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“Amazon for lab work”</w:t>
      </w:r>
      <w:r>
        <w:t xml:space="preserve"> </w:t>
      </w:r>
      <w:r>
        <w:t xml:space="preserve">(ordering from 35+ labs in one interface) for functional medicine practitioners. Their trajectory:</w:t>
      </w:r>
    </w:p>
    <w:p>
      <w:pPr>
        <w:pStyle w:val="Compact"/>
        <w:numPr>
          <w:ilvl w:val="0"/>
          <w:numId w:val="1018"/>
        </w:numPr>
      </w:pPr>
      <w:r>
        <w:t xml:space="preserve">Founded 2020, raised $48.94M total across seed through Series A (Bessemer Venture Partners, Union Square Ventures, First Round Capital, SV Angel)</w:t>
      </w:r>
    </w:p>
    <w:p>
      <w:pPr>
        <w:pStyle w:val="Compact"/>
        <w:numPr>
          <w:ilvl w:val="0"/>
          <w:numId w:val="1018"/>
        </w:numPr>
      </w:pPr>
      <w:r>
        <w:t xml:space="preserve">Grew to tens of thousands of clinics and was described as a $20M seed-stage startup that grew to $100M+ in value</w:t>
      </w:r>
    </w:p>
    <w:p>
      <w:pPr>
        <w:pStyle w:val="Compact"/>
        <w:numPr>
          <w:ilvl w:val="0"/>
          <w:numId w:val="1018"/>
        </w:numPr>
      </w:pPr>
      <w:r>
        <w:t xml:space="preserve">Acquired by Fullscript in October 2024 (terms undisclosed) — Fullscript had $700M+ in annual revenue and 100,000+ practitioners on platform</w:t>
      </w:r>
    </w:p>
    <w:p>
      <w:pPr>
        <w:pStyle w:val="Compact"/>
        <w:numPr>
          <w:ilvl w:val="0"/>
          <w:numId w:val="1018"/>
        </w:numPr>
      </w:pPr>
      <w:r>
        <w:t xml:space="preserve">Fullscript stated the acquisition put them</w:t>
      </w:r>
      <w:r>
        <w:t xml:space="preserve"> </w:t>
      </w:r>
      <w:r>
        <w:t xml:space="preserve">“really close”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49"/>
    <w:bookmarkStart w:id="50"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50"/>
    <w:bookmarkStart w:id="51"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
          <w:bCs/>
        </w:rPr>
        <w:t xml:space="preserve">Scenario 1: Conservative (3 clinics, slow ramp)</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$120</w:t>
            </w:r>
          </w:p>
        </w:tc>
        <w:tc>
          <w:tcPr/>
          <w:p>
            <w:pPr>
              <w:pStyle w:val="Compact"/>
            </w:pPr>
            <w:r>
              <w:t xml:space="preserve">$18</w:t>
            </w:r>
          </w:p>
        </w:tc>
        <w:tc>
          <w:tcPr/>
          <w:p>
            <w:pPr>
              <w:pStyle w:val="Compact"/>
            </w:pPr>
            <w:r>
              <w:t xml:space="preserve">$180</w:t>
            </w:r>
          </w:p>
        </w:tc>
      </w:tr>
      <w:tr>
        <w:tc>
          <w:tcPr/>
          <w:p>
            <w:pPr>
              <w:pStyle w:val="Compact"/>
            </w:pPr>
            <w:r>
              <w:t xml:space="preserve">2</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$120</w:t>
            </w:r>
          </w:p>
        </w:tc>
        <w:tc>
          <w:tcPr/>
          <w:p>
            <w:pPr>
              <w:pStyle w:val="Compact"/>
            </w:pPr>
            <w:r>
              <w:t xml:space="preserve">$18</w:t>
            </w:r>
          </w:p>
        </w:tc>
        <w:tc>
          <w:tcPr/>
          <w:p>
            <w:pPr>
              <w:pStyle w:val="Compact"/>
            </w:pPr>
            <w:r>
              <w:t xml:space="preserve">$540</w:t>
            </w:r>
          </w:p>
        </w:tc>
      </w:tr>
      <w:tr>
        <w:tc>
          <w:tcPr/>
          <w:p>
            <w:pPr>
              <w:pStyle w:val="Compact"/>
            </w:pPr>
            <w:r>
              <w:t xml:space="preserve">3</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4</w:t>
            </w:r>
          </w:p>
        </w:tc>
        <w:tc>
          <w:tcPr/>
          <w:p>
            <w:pPr>
              <w:pStyle w:val="Compact"/>
            </w:pPr>
            <w:r>
              <w:t xml:space="preserve">3</w:t>
            </w:r>
          </w:p>
        </w:tc>
        <w:tc>
          <w:tcPr/>
          <w:p>
            <w:pPr>
              <w:pStyle w:val="Compact"/>
            </w:pPr>
            <w:r>
              <w:t xml:space="preserve">40</w:t>
            </w:r>
          </w:p>
        </w:tc>
        <w:tc>
          <w:tcPr/>
          <w:p>
            <w:pPr>
              <w:pStyle w:val="Compact"/>
            </w:pPr>
            <w:r>
              <w:t xml:space="preserve">120</w:t>
            </w:r>
          </w:p>
        </w:tc>
        <w:tc>
          <w:tcPr/>
          <w:p>
            <w:pPr>
              <w:pStyle w:val="Compact"/>
            </w:pPr>
            <w:r>
              <w:t xml:space="preserve">$130</w:t>
            </w:r>
          </w:p>
        </w:tc>
        <w:tc>
          <w:tcPr/>
          <w:p>
            <w:pPr>
              <w:pStyle w:val="Compact"/>
            </w:pPr>
            <w:r>
              <w:t xml:space="preserve">$19.50</w:t>
            </w:r>
          </w:p>
        </w:tc>
        <w:tc>
          <w:tcPr/>
          <w:p>
            <w:pPr>
              <w:pStyle w:val="Compact"/>
            </w:pPr>
            <w:r>
              <w:t xml:space="preserve">$2,340</w:t>
            </w:r>
          </w:p>
        </w:tc>
      </w:tr>
      <w:tr>
        <w:tc>
          <w:tcPr/>
          <w:p>
            <w:pPr>
              <w:pStyle w:val="Compact"/>
            </w:pPr>
            <w:r>
              <w:t xml:space="preserve">5</w:t>
            </w:r>
          </w:p>
        </w:tc>
        <w:tc>
          <w:tcPr/>
          <w:p>
            <w:pPr>
              <w:pStyle w:val="Compact"/>
            </w:pPr>
            <w:r>
              <w:t xml:space="preserve">3</w:t>
            </w:r>
          </w:p>
        </w:tc>
        <w:tc>
          <w:tcPr/>
          <w:p>
            <w:pPr>
              <w:pStyle w:val="Compact"/>
            </w:pPr>
            <w:r>
              <w:t xml:space="preserve">55</w:t>
            </w:r>
          </w:p>
        </w:tc>
        <w:tc>
          <w:tcPr/>
          <w:p>
            <w:pPr>
              <w:pStyle w:val="Compact"/>
            </w:pPr>
            <w:r>
              <w:t xml:space="preserve">165</w:t>
            </w:r>
          </w:p>
        </w:tc>
        <w:tc>
          <w:tcPr/>
          <w:p>
            <w:pPr>
              <w:pStyle w:val="Compact"/>
            </w:pPr>
            <w:r>
              <w:t xml:space="preserve">$140</w:t>
            </w:r>
          </w:p>
        </w:tc>
        <w:tc>
          <w:tcPr/>
          <w:p>
            <w:pPr>
              <w:pStyle w:val="Compact"/>
            </w:pPr>
            <w:r>
              <w:t xml:space="preserve">$21</w:t>
            </w:r>
          </w:p>
        </w:tc>
        <w:tc>
          <w:tcPr/>
          <w:p>
            <w:pPr>
              <w:pStyle w:val="Compact"/>
            </w:pPr>
            <w:r>
              <w:t xml:space="preserve">$3,465</w:t>
            </w:r>
          </w:p>
        </w:tc>
      </w:tr>
      <w:tr>
        <w:tc>
          <w:tcPr/>
          <w:p>
            <w:pPr>
              <w:pStyle w:val="Compact"/>
            </w:pPr>
            <w:r>
              <w:t xml:space="preserve">6</w:t>
            </w:r>
          </w:p>
        </w:tc>
        <w:tc>
          <w:tcPr/>
          <w:p>
            <w:pPr>
              <w:pStyle w:val="Compact"/>
            </w:pPr>
            <w:r>
              <w:t xml:space="preserve">3</w:t>
            </w:r>
          </w:p>
        </w:tc>
        <w:tc>
          <w:tcPr/>
          <w:p>
            <w:pPr>
              <w:pStyle w:val="Compact"/>
            </w:pPr>
            <w:r>
              <w:t xml:space="preserve">70</w:t>
            </w:r>
          </w:p>
        </w:tc>
        <w:tc>
          <w:tcPr/>
          <w:p>
            <w:pPr>
              <w:pStyle w:val="Compact"/>
            </w:pPr>
            <w:r>
              <w:t xml:space="preserve">210</w:t>
            </w:r>
          </w:p>
        </w:tc>
        <w:tc>
          <w:tcPr/>
          <w:p>
            <w:pPr>
              <w:pStyle w:val="Compact"/>
            </w:pPr>
            <w:r>
              <w:t xml:space="preserve">$140</w:t>
            </w:r>
          </w:p>
        </w:tc>
        <w:tc>
          <w:tcPr/>
          <w:p>
            <w:pPr>
              <w:pStyle w:val="Compact"/>
            </w:pPr>
            <w:r>
              <w:t xml:space="preserve">$21</w:t>
            </w:r>
          </w:p>
        </w:tc>
        <w:tc>
          <w:tcPr/>
          <w:p>
            <w:pPr>
              <w:pStyle w:val="Compact"/>
            </w:pPr>
            <w:r>
              <w:t xml:space="preserve">$4,410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610</w:t>
            </w:r>
          </w:p>
        </w:tc>
        <w:tc>
          <w:tcPr/>
          <w:p>
            <w:pPr>
              <w:pStyle w:val="Compact"/>
            </w:pPr>
          </w:p>
        </w:tc>
        <w:tc>
          <w:tcPr/>
          <w:p>
            <w:pPr>
              <w:pStyle w:val="Compact"/>
            </w:pPr>
          </w:p>
        </w:tc>
        <w:tc>
          <w:tcPr/>
          <w:p>
            <w:pPr>
              <w:pStyle w:val="Compact"/>
            </w:pPr>
            <w:r>
              <w:rPr>
                <w:b/>
                <w:bCs/>
              </w:rPr>
              <w:t xml:space="preserve">$12,398</w:t>
            </w:r>
          </w:p>
        </w:tc>
      </w:tr>
    </w:tbl>
    <w:p>
      <w:pPr>
        <w:pStyle w:val="BodyText"/>
      </w:pPr>
      <w:r>
        <w:t xml:space="preserve">Month-6 ARR run rate: ~$53K</w:t>
      </w:r>
    </w:p>
    <w:p>
      <w:pPr>
        <w:pStyle w:val="BodyText"/>
      </w:pPr>
      <w:r>
        <w:rPr>
          <w:b/>
          <w:bCs/>
        </w:rPr>
        <w:t xml:space="preserve">Scenario 2: Moderate (8 clinics, steady growth)</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$130</w:t>
            </w:r>
          </w:p>
        </w:tc>
        <w:tc>
          <w:tcPr/>
          <w:p>
            <w:pPr>
              <w:pStyle w:val="Compact"/>
            </w:pPr>
            <w:r>
              <w:t xml:space="preserve">$19.50</w:t>
            </w:r>
          </w:p>
        </w:tc>
        <w:tc>
          <w:tcPr/>
          <w:p>
            <w:pPr>
              <w:pStyle w:val="Compact"/>
            </w:pPr>
            <w:r>
              <w:t xml:space="preserve">$585</w:t>
            </w:r>
          </w:p>
        </w:tc>
      </w:tr>
      <w:tr>
        <w:tc>
          <w:tcPr/>
          <w:p>
            <w:pPr>
              <w:pStyle w:val="Compact"/>
            </w:pPr>
            <w:r>
              <w:t xml:space="preserve">2</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3</w:t>
            </w:r>
          </w:p>
        </w:tc>
        <w:tc>
          <w:tcPr/>
          <w:p>
            <w:pPr>
              <w:pStyle w:val="Compact"/>
            </w:pPr>
            <w:r>
              <w:t xml:space="preserve">5</w:t>
            </w:r>
          </w:p>
        </w:tc>
        <w:tc>
          <w:tcPr/>
          <w:p>
            <w:pPr>
              <w:pStyle w:val="Compact"/>
            </w:pPr>
            <w:r>
              <w:t xml:space="preserve">40</w:t>
            </w:r>
          </w:p>
        </w:tc>
        <w:tc>
          <w:tcPr/>
          <w:p>
            <w:pPr>
              <w:pStyle w:val="Compact"/>
            </w:pPr>
            <w:r>
              <w:t xml:space="preserve">200</w:t>
            </w:r>
          </w:p>
        </w:tc>
        <w:tc>
          <w:tcPr/>
          <w:p>
            <w:pPr>
              <w:pStyle w:val="Compact"/>
            </w:pPr>
            <w:r>
              <w:t xml:space="preserve">$140</w:t>
            </w:r>
          </w:p>
        </w:tc>
        <w:tc>
          <w:tcPr/>
          <w:p>
            <w:pPr>
              <w:pStyle w:val="Compact"/>
            </w:pPr>
            <w:r>
              <w:t xml:space="preserve">$21</w:t>
            </w:r>
          </w:p>
        </w:tc>
        <w:tc>
          <w:tcPr/>
          <w:p>
            <w:pPr>
              <w:pStyle w:val="Compact"/>
            </w:pPr>
            <w:r>
              <w:t xml:space="preserve">$4,200</w:t>
            </w:r>
          </w:p>
        </w:tc>
      </w:tr>
      <w:tr>
        <w:tc>
          <w:tcPr/>
          <w:p>
            <w:pPr>
              <w:pStyle w:val="Compact"/>
            </w:pPr>
            <w:r>
              <w:t xml:space="preserve">4</w:t>
            </w:r>
          </w:p>
        </w:tc>
        <w:tc>
          <w:tcPr/>
          <w:p>
            <w:pPr>
              <w:pStyle w:val="Compact"/>
            </w:pPr>
            <w:r>
              <w:t xml:space="preserve">6</w:t>
            </w:r>
          </w:p>
        </w:tc>
        <w:tc>
          <w:tcPr/>
          <w:p>
            <w:pPr>
              <w:pStyle w:val="Compact"/>
            </w:pPr>
            <w:r>
              <w:t xml:space="preserve">55</w:t>
            </w:r>
          </w:p>
        </w:tc>
        <w:tc>
          <w:tcPr/>
          <w:p>
            <w:pPr>
              <w:pStyle w:val="Compact"/>
            </w:pPr>
            <w:r>
              <w:t xml:space="preserve">330</w:t>
            </w:r>
          </w:p>
        </w:tc>
        <w:tc>
          <w:tcPr/>
          <w:p>
            <w:pPr>
              <w:pStyle w:val="Compact"/>
            </w:pPr>
            <w:r>
              <w:t xml:space="preserve">$140</w:t>
            </w:r>
          </w:p>
        </w:tc>
        <w:tc>
          <w:tcPr/>
          <w:p>
            <w:pPr>
              <w:pStyle w:val="Compact"/>
            </w:pPr>
            <w:r>
              <w:t xml:space="preserve">$21</w:t>
            </w:r>
          </w:p>
        </w:tc>
        <w:tc>
          <w:tcPr/>
          <w:p>
            <w:pPr>
              <w:pStyle w:val="Compact"/>
            </w:pPr>
            <w:r>
              <w:t xml:space="preserve">$6,930</w:t>
            </w:r>
          </w:p>
        </w:tc>
      </w:tr>
      <w:tr>
        <w:tc>
          <w:tcPr/>
          <w:p>
            <w:pPr>
              <w:pStyle w:val="Compact"/>
            </w:pPr>
            <w:r>
              <w:t xml:space="preserve">5</w:t>
            </w:r>
          </w:p>
        </w:tc>
        <w:tc>
          <w:tcPr/>
          <w:p>
            <w:pPr>
              <w:pStyle w:val="Compact"/>
            </w:pPr>
            <w:r>
              <w:t xml:space="preserve">7</w:t>
            </w:r>
          </w:p>
        </w:tc>
        <w:tc>
          <w:tcPr/>
          <w:p>
            <w:pPr>
              <w:pStyle w:val="Compact"/>
            </w:pPr>
            <w:r>
              <w:t xml:space="preserve">70</w:t>
            </w:r>
          </w:p>
        </w:tc>
        <w:tc>
          <w:tcPr/>
          <w:p>
            <w:pPr>
              <w:pStyle w:val="Compact"/>
            </w:pPr>
            <w:r>
              <w:t xml:space="preserve">490</w:t>
            </w:r>
          </w:p>
        </w:tc>
        <w:tc>
          <w:tcPr/>
          <w:p>
            <w:pPr>
              <w:pStyle w:val="Compact"/>
            </w:pPr>
            <w:r>
              <w:t xml:space="preserve">$150</w:t>
            </w:r>
          </w:p>
        </w:tc>
        <w:tc>
          <w:tcPr/>
          <w:p>
            <w:pPr>
              <w:pStyle w:val="Compact"/>
            </w:pPr>
            <w:r>
              <w:t xml:space="preserve">$22.50</w:t>
            </w:r>
          </w:p>
        </w:tc>
        <w:tc>
          <w:tcPr/>
          <w:p>
            <w:pPr>
              <w:pStyle w:val="Compact"/>
            </w:pPr>
            <w:r>
              <w:t xml:space="preserve">$11,025</w:t>
            </w:r>
          </w:p>
        </w:tc>
      </w:tr>
      <w:tr>
        <w:tc>
          <w:tcPr/>
          <w:p>
            <w:pPr>
              <w:pStyle w:val="Compact"/>
            </w:pPr>
            <w:r>
              <w:t xml:space="preserve">6</w:t>
            </w:r>
          </w:p>
        </w:tc>
        <w:tc>
          <w:tcPr/>
          <w:p>
            <w:pPr>
              <w:pStyle w:val="Compact"/>
            </w:pPr>
            <w:r>
              <w:t xml:space="preserve">8</w:t>
            </w:r>
          </w:p>
        </w:tc>
        <w:tc>
          <w:tcPr/>
          <w:p>
            <w:pPr>
              <w:pStyle w:val="Compact"/>
            </w:pPr>
            <w:r>
              <w:t xml:space="preserve">80</w:t>
            </w:r>
          </w:p>
        </w:tc>
        <w:tc>
          <w:tcPr/>
          <w:p>
            <w:pPr>
              <w:pStyle w:val="Compact"/>
            </w:pPr>
            <w:r>
              <w:t xml:space="preserve">640</w:t>
            </w:r>
          </w:p>
        </w:tc>
        <w:tc>
          <w:tcPr/>
          <w:p>
            <w:pPr>
              <w:pStyle w:val="Compact"/>
            </w:pPr>
            <w:r>
              <w:t xml:space="preserve">$150</w:t>
            </w:r>
          </w:p>
        </w:tc>
        <w:tc>
          <w:tcPr/>
          <w:p>
            <w:pPr>
              <w:pStyle w:val="Compact"/>
            </w:pPr>
            <w:r>
              <w:t xml:space="preserve">$22.50</w:t>
            </w:r>
          </w:p>
        </w:tc>
        <w:tc>
          <w:tcPr/>
          <w:p>
            <w:pPr>
              <w:pStyle w:val="Compact"/>
            </w:pPr>
            <w:r>
              <w:t xml:space="preserve">$14,400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1,765</w:t>
            </w:r>
          </w:p>
        </w:tc>
        <w:tc>
          <w:tcPr/>
          <w:p>
            <w:pPr>
              <w:pStyle w:val="Compact"/>
            </w:pPr>
          </w:p>
        </w:tc>
        <w:tc>
          <w:tcPr/>
          <w:p>
            <w:pPr>
              <w:pStyle w:val="Compact"/>
            </w:pPr>
          </w:p>
        </w:tc>
        <w:tc>
          <w:tcPr/>
          <w:p>
            <w:pPr>
              <w:pStyle w:val="Compact"/>
            </w:pPr>
            <w:r>
              <w:rPr>
                <w:b/>
                <w:bCs/>
              </w:rPr>
              <w:t xml:space="preserve">$38,603</w:t>
            </w:r>
          </w:p>
        </w:tc>
      </w:tr>
    </w:tbl>
    <w:p>
      <w:pPr>
        <w:pStyle w:val="BodyText"/>
      </w:pPr>
      <w:r>
        <w:t xml:space="preserve">Month-6 ARR run rate: ~$173K</w:t>
      </w:r>
    </w:p>
    <w:p>
      <w:pPr>
        <w:pStyle w:val="BodyText"/>
      </w:pPr>
      <w:r>
        <w:rPr>
          <w:b/>
          <w:bCs/>
        </w:rPr>
        <w:t xml:space="preserve">Scenario 3: Aggressive (15 clinics, word-of-mouth referral)</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3</w:t>
            </w:r>
          </w:p>
        </w:tc>
        <w:tc>
          <w:tcPr/>
          <w:p>
            <w:pPr>
              <w:pStyle w:val="Compact"/>
            </w:pPr>
            <w:r>
              <w:t xml:space="preserve">20</w:t>
            </w:r>
          </w:p>
        </w:tc>
        <w:tc>
          <w:tcPr/>
          <w:p>
            <w:pPr>
              <w:pStyle w:val="Compact"/>
            </w:pPr>
            <w:r>
              <w:t xml:space="preserve">60</w:t>
            </w:r>
          </w:p>
        </w:tc>
        <w:tc>
          <w:tcPr/>
          <w:p>
            <w:pPr>
              <w:pStyle w:val="Compact"/>
            </w:pPr>
            <w:r>
              <w:t xml:space="preserve">$140</w:t>
            </w:r>
          </w:p>
        </w:tc>
        <w:tc>
          <w:tcPr/>
          <w:p>
            <w:pPr>
              <w:pStyle w:val="Compact"/>
            </w:pPr>
            <w:r>
              <w:t xml:space="preserve">$21</w:t>
            </w:r>
          </w:p>
        </w:tc>
        <w:tc>
          <w:tcPr/>
          <w:p>
            <w:pPr>
              <w:pStyle w:val="Compact"/>
            </w:pPr>
            <w:r>
              <w:t xml:space="preserve">$1,260</w:t>
            </w:r>
          </w:p>
        </w:tc>
      </w:tr>
      <w:tr>
        <w:tc>
          <w:tcPr/>
          <w:p>
            <w:pPr>
              <w:pStyle w:val="Compact"/>
            </w:pPr>
            <w:r>
              <w:t xml:space="preserve">2</w:t>
            </w:r>
          </w:p>
        </w:tc>
        <w:tc>
          <w:tcPr/>
          <w:p>
            <w:pPr>
              <w:pStyle w:val="Compact"/>
            </w:pPr>
            <w:r>
              <w:t xml:space="preserve">5</w:t>
            </w:r>
          </w:p>
        </w:tc>
        <w:tc>
          <w:tcPr/>
          <w:p>
            <w:pPr>
              <w:pStyle w:val="Compact"/>
            </w:pPr>
            <w:r>
              <w:t xml:space="preserve">35</w:t>
            </w:r>
          </w:p>
        </w:tc>
        <w:tc>
          <w:tcPr/>
          <w:p>
            <w:pPr>
              <w:pStyle w:val="Compact"/>
            </w:pPr>
            <w:r>
              <w:t xml:space="preserve">175</w:t>
            </w:r>
          </w:p>
        </w:tc>
        <w:tc>
          <w:tcPr/>
          <w:p>
            <w:pPr>
              <w:pStyle w:val="Compact"/>
            </w:pPr>
            <w:r>
              <w:t xml:space="preserve">$140</w:t>
            </w:r>
          </w:p>
        </w:tc>
        <w:tc>
          <w:tcPr/>
          <w:p>
            <w:pPr>
              <w:pStyle w:val="Compact"/>
            </w:pPr>
            <w:r>
              <w:t xml:space="preserve">$21</w:t>
            </w:r>
          </w:p>
        </w:tc>
        <w:tc>
          <w:tcPr/>
          <w:p>
            <w:pPr>
              <w:pStyle w:val="Compact"/>
            </w:pPr>
            <w:r>
              <w:t xml:space="preserve">$3,675</w:t>
            </w:r>
          </w:p>
        </w:tc>
      </w:tr>
      <w:tr>
        <w:tc>
          <w:tcPr/>
          <w:p>
            <w:pPr>
              <w:pStyle w:val="Compact"/>
            </w:pPr>
            <w:r>
              <w:t xml:space="preserve">3</w:t>
            </w:r>
          </w:p>
        </w:tc>
        <w:tc>
          <w:tcPr/>
          <w:p>
            <w:pPr>
              <w:pStyle w:val="Compact"/>
            </w:pPr>
            <w:r>
              <w:t xml:space="preserve">8</w:t>
            </w:r>
          </w:p>
        </w:tc>
        <w:tc>
          <w:tcPr/>
          <w:p>
            <w:pPr>
              <w:pStyle w:val="Compact"/>
            </w:pPr>
            <w:r>
              <w:t xml:space="preserve">50</w:t>
            </w:r>
          </w:p>
        </w:tc>
        <w:tc>
          <w:tcPr/>
          <w:p>
            <w:pPr>
              <w:pStyle w:val="Compact"/>
            </w:pPr>
            <w:r>
              <w:t xml:space="preserve">400</w:t>
            </w:r>
          </w:p>
        </w:tc>
        <w:tc>
          <w:tcPr/>
          <w:p>
            <w:pPr>
              <w:pStyle w:val="Compact"/>
            </w:pPr>
            <w:r>
              <w:t xml:space="preserve">$150</w:t>
            </w:r>
          </w:p>
        </w:tc>
        <w:tc>
          <w:tcPr/>
          <w:p>
            <w:pPr>
              <w:pStyle w:val="Compact"/>
            </w:pPr>
            <w:r>
              <w:t xml:space="preserve">$22.50</w:t>
            </w:r>
          </w:p>
        </w:tc>
        <w:tc>
          <w:tcPr/>
          <w:p>
            <w:pPr>
              <w:pStyle w:val="Compact"/>
            </w:pPr>
            <w:r>
              <w:t xml:space="preserve">$9,000</w:t>
            </w:r>
          </w:p>
        </w:tc>
      </w:tr>
      <w:tr>
        <w:tc>
          <w:tcPr/>
          <w:p>
            <w:pPr>
              <w:pStyle w:val="Compact"/>
            </w:pPr>
            <w:r>
              <w:t xml:space="preserve">4</w:t>
            </w:r>
          </w:p>
        </w:tc>
        <w:tc>
          <w:tcPr/>
          <w:p>
            <w:pPr>
              <w:pStyle w:val="Compact"/>
            </w:pPr>
            <w:r>
              <w:t xml:space="preserve">10</w:t>
            </w:r>
          </w:p>
        </w:tc>
        <w:tc>
          <w:tcPr/>
          <w:p>
            <w:pPr>
              <w:pStyle w:val="Compact"/>
            </w:pPr>
            <w:r>
              <w:t xml:space="preserve">65</w:t>
            </w:r>
          </w:p>
        </w:tc>
        <w:tc>
          <w:tcPr/>
          <w:p>
            <w:pPr>
              <w:pStyle w:val="Compact"/>
            </w:pPr>
            <w:r>
              <w:t xml:space="preserve">650</w:t>
            </w:r>
          </w:p>
        </w:tc>
        <w:tc>
          <w:tcPr/>
          <w:p>
            <w:pPr>
              <w:pStyle w:val="Compact"/>
            </w:pPr>
            <w:r>
              <w:t xml:space="preserve">$150</w:t>
            </w:r>
          </w:p>
        </w:tc>
        <w:tc>
          <w:tcPr/>
          <w:p>
            <w:pPr>
              <w:pStyle w:val="Compact"/>
            </w:pPr>
            <w:r>
              <w:t xml:space="preserve">$22.50</w:t>
            </w:r>
          </w:p>
        </w:tc>
        <w:tc>
          <w:tcPr/>
          <w:p>
            <w:pPr>
              <w:pStyle w:val="Compact"/>
            </w:pPr>
            <w:r>
              <w:t xml:space="preserve">$14,625</w:t>
            </w:r>
          </w:p>
        </w:tc>
      </w:tr>
      <w:tr>
        <w:tc>
          <w:tcPr/>
          <w:p>
            <w:pPr>
              <w:pStyle w:val="Compact"/>
            </w:pPr>
            <w:r>
              <w:t xml:space="preserve">5</w:t>
            </w:r>
          </w:p>
        </w:tc>
        <w:tc>
          <w:tcPr/>
          <w:p>
            <w:pPr>
              <w:pStyle w:val="Compact"/>
            </w:pPr>
            <w:r>
              <w:t xml:space="preserve">13</w:t>
            </w:r>
          </w:p>
        </w:tc>
        <w:tc>
          <w:tcPr/>
          <w:p>
            <w:pPr>
              <w:pStyle w:val="Compact"/>
            </w:pPr>
            <w:r>
              <w:t xml:space="preserve">80</w:t>
            </w:r>
          </w:p>
        </w:tc>
        <w:tc>
          <w:tcPr/>
          <w:p>
            <w:pPr>
              <w:pStyle w:val="Compact"/>
            </w:pPr>
            <w:r>
              <w:t xml:space="preserve">1,040</w:t>
            </w:r>
          </w:p>
        </w:tc>
        <w:tc>
          <w:tcPr/>
          <w:p>
            <w:pPr>
              <w:pStyle w:val="Compact"/>
            </w:pPr>
            <w:r>
              <w:t xml:space="preserve">$160</w:t>
            </w:r>
          </w:p>
        </w:tc>
        <w:tc>
          <w:tcPr/>
          <w:p>
            <w:pPr>
              <w:pStyle w:val="Compact"/>
            </w:pPr>
            <w:r>
              <w:t xml:space="preserve">$24</w:t>
            </w:r>
          </w:p>
        </w:tc>
        <w:tc>
          <w:tcPr/>
          <w:p>
            <w:pPr>
              <w:pStyle w:val="Compact"/>
            </w:pPr>
            <w:r>
              <w:t xml:space="preserve">$24,960</w:t>
            </w:r>
          </w:p>
        </w:tc>
      </w:tr>
      <w:tr>
        <w:tc>
          <w:tcPr/>
          <w:p>
            <w:pPr>
              <w:pStyle w:val="Compact"/>
            </w:pPr>
            <w:r>
              <w:t xml:space="preserve">6</w:t>
            </w:r>
          </w:p>
        </w:tc>
        <w:tc>
          <w:tcPr/>
          <w:p>
            <w:pPr>
              <w:pStyle w:val="Compact"/>
            </w:pPr>
            <w:r>
              <w:t xml:space="preserve">15</w:t>
            </w:r>
          </w:p>
        </w:tc>
        <w:tc>
          <w:tcPr/>
          <w:p>
            <w:pPr>
              <w:pStyle w:val="Compact"/>
            </w:pPr>
            <w:r>
              <w:t xml:space="preserve">90</w:t>
            </w:r>
          </w:p>
        </w:tc>
        <w:tc>
          <w:tcPr/>
          <w:p>
            <w:pPr>
              <w:pStyle w:val="Compact"/>
            </w:pPr>
            <w:r>
              <w:t xml:space="preserve">1,350</w:t>
            </w:r>
          </w:p>
        </w:tc>
        <w:tc>
          <w:tcPr/>
          <w:p>
            <w:pPr>
              <w:pStyle w:val="Compact"/>
            </w:pPr>
            <w:r>
              <w:t xml:space="preserve">$160</w:t>
            </w:r>
          </w:p>
        </w:tc>
        <w:tc>
          <w:tcPr/>
          <w:p>
            <w:pPr>
              <w:pStyle w:val="Compact"/>
            </w:pPr>
            <w:r>
              <w:t xml:space="preserve">$24</w:t>
            </w:r>
          </w:p>
        </w:tc>
        <w:tc>
          <w:tcPr/>
          <w:p>
            <w:pPr>
              <w:pStyle w:val="Compact"/>
            </w:pPr>
            <w:r>
              <w:t xml:space="preserve">$32,400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3,675</w:t>
            </w:r>
          </w:p>
        </w:tc>
        <w:tc>
          <w:tcPr/>
          <w:p>
            <w:pPr>
              <w:pStyle w:val="Compact"/>
            </w:pPr>
          </w:p>
        </w:tc>
        <w:tc>
          <w:tcPr/>
          <w:p>
            <w:pPr>
              <w:pStyle w:val="Compact"/>
            </w:pPr>
          </w:p>
        </w:tc>
        <w:tc>
          <w:tcPr/>
          <w:p>
            <w:pPr>
              <w:pStyle w:val="Compact"/>
            </w:pPr>
            <w:r>
              <w:rPr>
                <w:b/>
                <w:bCs/>
              </w:rPr>
              <w:t xml:space="preserve">$85,920</w:t>
            </w:r>
          </w:p>
        </w:tc>
      </w:tr>
    </w:tbl>
    <w:p>
      <w:pPr>
        <w:pStyle w:val="BodyText"/>
      </w:pPr>
      <w:r>
        <w:t xml:space="preserve">Month-6 ARR run rate: ~$389K</w:t>
      </w:r>
    </w:p>
    <w:bookmarkEnd w:id="51"/>
    <w:bookmarkStart w:id="52"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ayout w:type="fixed"/>
        <w:tblLook w:firstRow="1" w:lastRow="0" w:firstColumn="0" w:lastColumn="0" w:noHBand="0" w:noVBand="0" w:val="0020"/>
      </w:tblPr>
      <w:tblGrid>
        <w:gridCol w:w="990"/>
        <w:gridCol w:w="1782"/>
        <w:gridCol w:w="1683"/>
        <w:gridCol w:w="1287"/>
        <w:gridCol w:w="2178"/>
      </w:tblGrid>
      <w:tr>
        <w:trPr>
          <w:tblHeader w:val="on"/>
        </w:trPr>
        <w:tc>
          <w:tcPr/>
          <w:p>
            <w:pPr>
              <w:pStyle w:val="Compact"/>
            </w:pPr>
            <w:r>
              <w:t xml:space="preserve">Scenario</w:t>
            </w:r>
          </w:p>
        </w:tc>
        <w:tc>
          <w:tcPr/>
          <w:p>
            <w:pPr>
              <w:pStyle w:val="Compact"/>
            </w:pPr>
            <w:r>
              <w:t xml:space="preserve">6-Month Total Rx</w:t>
            </w:r>
          </w:p>
        </w:tc>
        <w:tc>
          <w:tcPr/>
          <w:p>
            <w:pPr>
              <w:pStyle w:val="Compact"/>
            </w:pPr>
            <w:r>
              <w:t xml:space="preserve">Avg Order Value</w:t>
            </w:r>
          </w:p>
        </w:tc>
        <w:tc>
          <w:tcPr/>
          <w:p>
            <w:pPr>
              <w:pStyle w:val="Compact"/>
            </w:pPr>
            <w:r>
              <w:t xml:space="preserve">6-Month GMV</w:t>
            </w:r>
          </w:p>
        </w:tc>
        <w:tc>
          <w:tcPr/>
          <w:p>
            <w:pPr>
              <w:pStyle w:val="Compact"/>
            </w:pPr>
            <w:r>
              <w:t xml:space="preserve">Month-6 GMV Run Rate</w:t>
            </w:r>
          </w:p>
        </w:tc>
      </w:tr>
      <w:tr>
        <w:tc>
          <w:tcPr/>
          <w:p>
            <w:pPr>
              <w:pStyle w:val="Compact"/>
            </w:pPr>
            <w:r>
              <w:t xml:space="preserve">Conservative</w:t>
            </w:r>
          </w:p>
        </w:tc>
        <w:tc>
          <w:tcPr/>
          <w:p>
            <w:pPr>
              <w:pStyle w:val="Compact"/>
            </w:pPr>
            <w:r>
              <w:t xml:space="preserve">610</w:t>
            </w:r>
          </w:p>
        </w:tc>
        <w:tc>
          <w:tcPr/>
          <w:p>
            <w:pPr>
              <w:pStyle w:val="Compact"/>
            </w:pPr>
            <w:r>
              <w:t xml:space="preserve">$270</w:t>
            </w:r>
          </w:p>
        </w:tc>
        <w:tc>
          <w:tcPr/>
          <w:p>
            <w:pPr>
              <w:pStyle w:val="Compact"/>
            </w:pPr>
            <w:r>
              <w:t xml:space="preserve">$164,700</w:t>
            </w:r>
          </w:p>
        </w:tc>
        <w:tc>
          <w:tcPr/>
          <w:p>
            <w:pPr>
              <w:pStyle w:val="Compact"/>
            </w:pPr>
            <w:r>
              <w:t xml:space="preserve">~$680K/yr</w:t>
            </w:r>
          </w:p>
        </w:tc>
      </w:tr>
      <w:tr>
        <w:tc>
          <w:tcPr/>
          <w:p>
            <w:pPr>
              <w:pStyle w:val="Compact"/>
            </w:pPr>
            <w:r>
              <w:t xml:space="preserve">Moderate</w:t>
            </w:r>
          </w:p>
        </w:tc>
        <w:tc>
          <w:tcPr/>
          <w:p>
            <w:pPr>
              <w:pStyle w:val="Compact"/>
            </w:pPr>
            <w:r>
              <w:t xml:space="preserve">1,765</w:t>
            </w:r>
          </w:p>
        </w:tc>
        <w:tc>
          <w:tcPr/>
          <w:p>
            <w:pPr>
              <w:pStyle w:val="Compact"/>
            </w:pPr>
            <w:r>
              <w:t xml:space="preserve">$290</w:t>
            </w:r>
          </w:p>
        </w:tc>
        <w:tc>
          <w:tcPr/>
          <w:p>
            <w:pPr>
              <w:pStyle w:val="Compact"/>
            </w:pPr>
            <w:r>
              <w:t xml:space="preserve">$511,850</w:t>
            </w:r>
          </w:p>
        </w:tc>
        <w:tc>
          <w:tcPr/>
          <w:p>
            <w:pPr>
              <w:pStyle w:val="Compact"/>
            </w:pPr>
            <w:r>
              <w:t xml:space="preserve">~$2.1M/yr</w:t>
            </w:r>
          </w:p>
        </w:tc>
      </w:tr>
      <w:tr>
        <w:tc>
          <w:tcPr/>
          <w:p>
            <w:pPr>
              <w:pStyle w:val="Compact"/>
            </w:pPr>
            <w:r>
              <w:t xml:space="preserve">Aggressive</w:t>
            </w:r>
          </w:p>
        </w:tc>
        <w:tc>
          <w:tcPr/>
          <w:p>
            <w:pPr>
              <w:pStyle w:val="Compact"/>
            </w:pPr>
            <w:r>
              <w:t xml:space="preserve">3,675</w:t>
            </w:r>
          </w:p>
        </w:tc>
        <w:tc>
          <w:tcPr/>
          <w:p>
            <w:pPr>
              <w:pStyle w:val="Compact"/>
            </w:pPr>
            <w:r>
              <w:t xml:space="preserve">$310</w:t>
            </w:r>
          </w:p>
        </w:tc>
        <w:tc>
          <w:tcPr/>
          <w:p>
            <w:pPr>
              <w:pStyle w:val="Compact"/>
            </w:pPr>
            <w:r>
              <w:t xml:space="preserve">$1,139,250</w:t>
            </w:r>
          </w:p>
        </w:tc>
        <w:tc>
          <w:tcPr/>
          <w:p>
            <w:pPr>
              <w:pStyle w:val="Compact"/>
            </w:pPr>
            <w:r>
              <w:t xml:space="preserve">~$4.9M/yr</w:t>
            </w:r>
          </w:p>
        </w:tc>
      </w:tr>
    </w:tbl>
    <w:bookmarkEnd w:id="52"/>
    <w:bookmarkStart w:id="53"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
          <w:bCs/>
        </w:rPr>
        <w:t xml:space="preserve">Demand-Side Metrics (Clinic Adoption)</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Active clinics</w:t>
            </w:r>
          </w:p>
        </w:tc>
        <w:tc>
          <w:tcPr/>
          <w:p>
            <w:pPr>
              <w:pStyle w:val="Compact"/>
            </w:pPr>
            <w:r>
              <w:t xml:space="preserve">Market pull</w:t>
            </w:r>
          </w:p>
        </w:tc>
        <w:tc>
          <w:tcPr/>
          <w:p>
            <w:pPr>
              <w:pStyle w:val="Compact"/>
            </w:pPr>
            <w:r>
              <w:t xml:space="preserve">1-2</w:t>
            </w:r>
          </w:p>
        </w:tc>
        <w:tc>
          <w:tcPr/>
          <w:p>
            <w:pPr>
              <w:pStyle w:val="Compact"/>
            </w:pPr>
            <w:r>
              <w:t xml:space="preserve">5-15</w:t>
            </w:r>
          </w:p>
        </w:tc>
      </w:tr>
      <w:tr>
        <w:tc>
          <w:tcPr/>
          <w:p>
            <w:pPr>
              <w:pStyle w:val="Compact"/>
            </w:pPr>
            <w:r>
              <w:t xml:space="preserve">Prescriptions per clinic per month</w:t>
            </w:r>
          </w:p>
        </w:tc>
        <w:tc>
          <w:tcPr/>
          <w:p>
            <w:pPr>
              <w:pStyle w:val="Compact"/>
            </w:pPr>
            <w:r>
              <w:t xml:space="preserve">Workflow stickiness</w:t>
            </w:r>
          </w:p>
        </w:tc>
        <w:tc>
          <w:tcPr/>
          <w:p>
            <w:pPr>
              <w:pStyle w:val="Compact"/>
            </w:pPr>
            <w:r>
              <w:t xml:space="preserve">10-15</w:t>
            </w:r>
          </w:p>
        </w:tc>
        <w:tc>
          <w:tcPr/>
          <w:p>
            <w:pPr>
              <w:pStyle w:val="Compact"/>
            </w:pPr>
            <w:r>
              <w:t xml:space="preserve">70-90</w:t>
            </w:r>
          </w:p>
        </w:tc>
      </w:tr>
      <w:tr>
        <w:tc>
          <w:tcPr/>
          <w:p>
            <w:pPr>
              <w:pStyle w:val="Compact"/>
            </w:pPr>
            <w:r>
              <w:t xml:space="preserve">Clinic retention (month-over-month)</w:t>
            </w:r>
          </w:p>
        </w:tc>
        <w:tc>
          <w:tcPr/>
          <w:p>
            <w:pPr>
              <w:pStyle w:val="Compact"/>
            </w:pPr>
            <w:r>
              <w:t xml:space="preserve">Product-market fit</w:t>
            </w:r>
          </w:p>
        </w:tc>
        <w:tc>
          <w:tcPr/>
          <w:p>
            <w:pPr>
              <w:pStyle w:val="Compact"/>
            </w:pPr>
            <w:r>
              <w:t xml:space="preserve">N/A</w:t>
            </w:r>
          </w:p>
        </w:tc>
        <w:tc>
          <w:tcPr/>
          <w:p>
            <w:pPr>
              <w:pStyle w:val="Compact"/>
            </w:pPr>
            <w:r>
              <w:t xml:space="preserve">&gt;90%</w:t>
            </w:r>
          </w:p>
        </w:tc>
      </w:tr>
      <w:tr>
        <w:tc>
          <w:tcPr/>
          <w:p>
            <w:pPr>
              <w:pStyle w:val="Compact"/>
            </w:pPr>
            <w:r>
              <w:t xml:space="preserve">Time from signup to first order</w:t>
            </w:r>
          </w:p>
        </w:tc>
        <w:tc>
          <w:tcPr/>
          <w:p>
            <w:pPr>
              <w:pStyle w:val="Compact"/>
            </w:pPr>
            <w:r>
              <w:t xml:space="preserve">Onboarding friction</w:t>
            </w:r>
          </w:p>
        </w:tc>
        <w:tc>
          <w:tcPr/>
          <w:p>
            <w:pPr>
              <w:pStyle w:val="Compact"/>
            </w:pPr>
            <w:r>
              <w:t xml:space="preserve">&lt;48 hours</w:t>
            </w:r>
          </w:p>
        </w:tc>
        <w:tc>
          <w:tcPr/>
          <w:p>
            <w:pPr>
              <w:pStyle w:val="Compact"/>
            </w:pPr>
            <w:r>
              <w:t xml:space="preserve">&lt;24 hours</w:t>
            </w:r>
          </w:p>
        </w:tc>
      </w:tr>
      <w:tr>
        <w:tc>
          <w:tcPr/>
          <w:p>
            <w:pPr>
              <w:pStyle w:val="Compact"/>
            </w:pPr>
            <w:r>
              <w:t xml:space="preserve">Avg prescriptions per session</w:t>
            </w:r>
          </w:p>
        </w:tc>
        <w:tc>
          <w:tcPr/>
          <w:p>
            <w:pPr>
              <w:pStyle w:val="Compact"/>
            </w:pPr>
            <w:r>
              <w:t xml:space="preserve">Multi-Rx adoption</w:t>
            </w:r>
          </w:p>
        </w:tc>
        <w:tc>
          <w:tcPr/>
          <w:p>
            <w:pPr>
              <w:pStyle w:val="Compact"/>
            </w:pPr>
            <w:r>
              <w:t xml:space="preserve">1.2</w:t>
            </w:r>
          </w:p>
        </w:tc>
        <w:tc>
          <w:tcPr/>
          <w:p>
            <w:pPr>
              <w:pStyle w:val="Compact"/>
            </w:pPr>
            <w:r>
              <w:t xml:space="preserve">2.5+</w:t>
            </w:r>
          </w:p>
        </w:tc>
      </w:tr>
      <w:tr>
        <w:tc>
          <w:tcPr/>
          <w:p>
            <w:pPr>
              <w:pStyle w:val="Compact"/>
            </w:pPr>
            <w:r>
              <w:t xml:space="preserve">Provider signature completion rate</w:t>
            </w:r>
          </w:p>
        </w:tc>
        <w:tc>
          <w:tcPr/>
          <w:p>
            <w:pPr>
              <w:pStyle w:val="Compact"/>
            </w:pPr>
            <w:r>
              <w:t xml:space="preserve">Provider buy-in</w:t>
            </w:r>
          </w:p>
        </w:tc>
        <w:tc>
          <w:tcPr/>
          <w:p>
            <w:pPr>
              <w:pStyle w:val="Compact"/>
            </w:pPr>
            <w:r>
              <w:t xml:space="preserve">&gt;80%</w:t>
            </w:r>
          </w:p>
        </w:tc>
        <w:tc>
          <w:tcPr/>
          <w:p>
            <w:pPr>
              <w:pStyle w:val="Compact"/>
            </w:pPr>
            <w:r>
              <w:t xml:space="preserve">&gt;95%</w:t>
            </w:r>
          </w:p>
        </w:tc>
      </w:tr>
    </w:tbl>
    <w:p>
      <w:pPr>
        <w:pStyle w:val="BodyText"/>
      </w:pPr>
      <w:r>
        <w:rPr>
          <w:b/>
          <w:bCs/>
        </w:rPr>
        <w:t xml:space="preserve">Supply-Side Metrics (Pharmacy Network)</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Pharmacies with catalog data</w:t>
            </w:r>
          </w:p>
        </w:tc>
        <w:tc>
          <w:tcPr/>
          <w:p>
            <w:pPr>
              <w:pStyle w:val="Compact"/>
            </w:pPr>
            <w:r>
              <w:t xml:space="preserve">Network breadth</w:t>
            </w:r>
          </w:p>
        </w:tc>
        <w:tc>
          <w:tcPr/>
          <w:p>
            <w:pPr>
              <w:pStyle w:val="Compact"/>
            </w:pPr>
            <w:r>
              <w:t xml:space="preserve">3-5</w:t>
            </w:r>
          </w:p>
        </w:tc>
        <w:tc>
          <w:tcPr/>
          <w:p>
            <w:pPr>
              <w:pStyle w:val="Compact"/>
            </w:pPr>
            <w:r>
              <w:t xml:space="preserve">15-20</w:t>
            </w:r>
          </w:p>
        </w:tc>
      </w:tr>
      <w:tr>
        <w:tc>
          <w:tcPr/>
          <w:p>
            <w:pPr>
              <w:pStyle w:val="Compact"/>
            </w:pPr>
            <w:r>
              <w:t xml:space="preserve">States with licensed pharmacy coverage</w:t>
            </w:r>
          </w:p>
        </w:tc>
        <w:tc>
          <w:tcPr/>
          <w:p>
            <w:pPr>
              <w:pStyle w:val="Compact"/>
            </w:pPr>
            <w:r>
              <w:t xml:space="preserve">Geographic reach</w:t>
            </w:r>
          </w:p>
        </w:tc>
        <w:tc>
          <w:tcPr/>
          <w:p>
            <w:pPr>
              <w:pStyle w:val="Compact"/>
            </w:pPr>
            <w:r>
              <w:t xml:space="preserve">10+</w:t>
            </w:r>
          </w:p>
        </w:tc>
        <w:tc>
          <w:tcPr/>
          <w:p>
            <w:pPr>
              <w:pStyle w:val="Compact"/>
            </w:pPr>
            <w:r>
              <w:t xml:space="preserve">35+</w:t>
            </w:r>
          </w:p>
        </w:tc>
      </w:tr>
      <w:tr>
        <w:tc>
          <w:tcPr/>
          <w:p>
            <w:pPr>
              <w:pStyle w:val="Compact"/>
            </w:pPr>
            <w:r>
              <w:t xml:space="preserve">Tier 1/2 integration active</w:t>
            </w:r>
          </w:p>
        </w:tc>
        <w:tc>
          <w:tcPr/>
          <w:p>
            <w:pPr>
              <w:pStyle w:val="Compact"/>
            </w:pPr>
            <w:r>
              <w:t xml:space="preserve">Technical moat</w:t>
            </w:r>
          </w:p>
        </w:tc>
        <w:tc>
          <w:tcPr/>
          <w:p>
            <w:pPr>
              <w:pStyle w:val="Compact"/>
            </w:pPr>
            <w:r>
              <w:t xml:space="preserve">0</w:t>
            </w:r>
          </w:p>
        </w:tc>
        <w:tc>
          <w:tcPr/>
          <w:p>
            <w:pPr>
              <w:pStyle w:val="Compact"/>
            </w:pPr>
            <w:r>
              <w:t xml:space="preserve">1-2</w:t>
            </w:r>
          </w:p>
        </w:tc>
      </w:tr>
      <w:tr>
        <w:tc>
          <w:tcPr/>
          <w:p>
            <w:pPr>
              <w:pStyle w:val="Compact"/>
            </w:pPr>
            <w:r>
              <w:t xml:space="preserve">Avg pharmacy acknowledgment time</w:t>
            </w:r>
          </w:p>
        </w:tc>
        <w:tc>
          <w:tcPr/>
          <w:p>
            <w:pPr>
              <w:pStyle w:val="Compact"/>
            </w:pPr>
            <w:r>
              <w:t xml:space="preserve">Fulfillment reliability</w:t>
            </w:r>
          </w:p>
        </w:tc>
        <w:tc>
          <w:tcPr/>
          <w:p>
            <w:pPr>
              <w:pStyle w:val="Compact"/>
            </w:pPr>
            <w:r>
              <w:t xml:space="preserve">&lt;4 hours</w:t>
            </w:r>
          </w:p>
        </w:tc>
        <w:tc>
          <w:tcPr/>
          <w:p>
            <w:pPr>
              <w:pStyle w:val="Compact"/>
            </w:pPr>
            <w:r>
              <w:t xml:space="preserve">&lt;2 hours</w:t>
            </w:r>
          </w:p>
        </w:tc>
      </w:tr>
      <w:tr>
        <w:tc>
          <w:tcPr/>
          <w:p>
            <w:pPr>
              <w:pStyle w:val="Compact"/>
            </w:pPr>
            <w:r>
              <w:t xml:space="preserve">Order rejection rate</w:t>
            </w:r>
          </w:p>
        </w:tc>
        <w:tc>
          <w:tcPr/>
          <w:p>
            <w:pPr>
              <w:pStyle w:val="Compact"/>
            </w:pPr>
            <w:r>
              <w:t xml:space="preserve">Catalog accuracy</w:t>
            </w:r>
          </w:p>
        </w:tc>
        <w:tc>
          <w:tcPr/>
          <w:p>
            <w:pPr>
              <w:pStyle w:val="Compact"/>
            </w:pPr>
            <w:r>
              <w:t xml:space="preserve">&lt;10%</w:t>
            </w:r>
          </w:p>
        </w:tc>
        <w:tc>
          <w:tcPr/>
          <w:p>
            <w:pPr>
              <w:pStyle w:val="Compact"/>
            </w:pPr>
            <w:r>
              <w:t xml:space="preserve">&lt;3%</w:t>
            </w:r>
          </w:p>
        </w:tc>
      </w:tr>
    </w:tbl>
    <w:p>
      <w:pPr>
        <w:pStyle w:val="BodyText"/>
      </w:pPr>
      <w:r>
        <w:rPr>
          <w:b/>
          <w:bCs/>
        </w:rPr>
        <w:t xml:space="preserve">Financial Metrics</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GMV (monthly)</w:t>
            </w:r>
          </w:p>
        </w:tc>
        <w:tc>
          <w:tcPr/>
          <w:p>
            <w:pPr>
              <w:pStyle w:val="Compact"/>
            </w:pPr>
            <w:r>
              <w:t xml:space="preserve">Scale</w:t>
            </w:r>
          </w:p>
        </w:tc>
        <w:tc>
          <w:tcPr/>
          <w:p>
            <w:pPr>
              <w:pStyle w:val="Compact"/>
            </w:pPr>
            <w:r>
              <w:t xml:space="preserve">$5K-$10K</w:t>
            </w:r>
          </w:p>
        </w:tc>
        <w:tc>
          <w:tcPr/>
          <w:p>
            <w:pPr>
              <w:pStyle w:val="Compact"/>
            </w:pPr>
            <w:r>
              <w:t xml:space="preserve">$50K-$200K</w:t>
            </w:r>
          </w:p>
        </w:tc>
      </w:tr>
      <w:tr>
        <w:tc>
          <w:tcPr/>
          <w:p>
            <w:pPr>
              <w:pStyle w:val="Compact"/>
            </w:pPr>
            <w:r>
              <w:t xml:space="preserve">Platform revenue (monthly)</w:t>
            </w:r>
          </w:p>
        </w:tc>
        <w:tc>
          <w:tcPr/>
          <w:p>
            <w:pPr>
              <w:pStyle w:val="Compact"/>
            </w:pPr>
            <w:r>
              <w:t xml:space="preserve">Business model works</w:t>
            </w:r>
          </w:p>
        </w:tc>
        <w:tc>
          <w:tcPr/>
          <w:p>
            <w:pPr>
              <w:pStyle w:val="Compact"/>
            </w:pPr>
            <w:r>
              <w:t xml:space="preserve">$180-$1,260</w:t>
            </w:r>
          </w:p>
        </w:tc>
        <w:tc>
          <w:tcPr/>
          <w:p>
            <w:pPr>
              <w:pStyle w:val="Compact"/>
            </w:pPr>
            <w:r>
              <w:t xml:space="preserve">$4K-$32K</w:t>
            </w:r>
          </w:p>
        </w:tc>
      </w:tr>
      <w:tr>
        <w:tc>
          <w:tcPr/>
          <w:p>
            <w:pPr>
              <w:pStyle w:val="Compact"/>
            </w:pPr>
            <w:r>
              <w:t xml:space="preserve">Take rate (effective)</w:t>
            </w:r>
          </w:p>
        </w:tc>
        <w:tc>
          <w:tcPr/>
          <w:p>
            <w:pPr>
              <w:pStyle w:val="Compact"/>
            </w:pPr>
            <w:r>
              <w:t xml:space="preserve">Revenue capture</w:t>
            </w:r>
          </w:p>
        </w:tc>
        <w:tc>
          <w:tcPr/>
          <w:p>
            <w:pPr>
              <w:pStyle w:val="Compact"/>
            </w:pPr>
            <w:r>
              <w:t xml:space="preserve">7-8% of GMV</w:t>
            </w:r>
          </w:p>
        </w:tc>
        <w:tc>
          <w:tcPr/>
          <w:p>
            <w:pPr>
              <w:pStyle w:val="Compact"/>
            </w:pPr>
            <w:r>
              <w:t xml:space="preserve">7-8% of GMV</w:t>
            </w:r>
          </w:p>
        </w:tc>
      </w:tr>
      <w:tr>
        <w:tc>
          <w:tcPr/>
          <w:p>
            <w:pPr>
              <w:pStyle w:val="Compact"/>
            </w:pPr>
            <w:r>
              <w:t xml:space="preserve">Payment conversion rate</w:t>
            </w:r>
          </w:p>
        </w:tc>
        <w:tc>
          <w:tcPr/>
          <w:p>
            <w:pPr>
              <w:pStyle w:val="Compact"/>
            </w:pPr>
            <w:r>
              <w:t xml:space="preserve">Checkout UX quality</w:t>
            </w:r>
          </w:p>
        </w:tc>
        <w:tc>
          <w:tcPr/>
          <w:p>
            <w:pPr>
              <w:pStyle w:val="Compact"/>
            </w:pPr>
            <w:r>
              <w:t xml:space="preserve">&gt;70%</w:t>
            </w:r>
          </w:p>
        </w:tc>
        <w:tc>
          <w:tcPr/>
          <w:p>
            <w:pPr>
              <w:pStyle w:val="Compact"/>
            </w:pPr>
            <w:r>
              <w:t xml:space="preserve">&gt;85%</w:t>
            </w:r>
          </w:p>
        </w:tc>
      </w:tr>
      <w:tr>
        <w:tc>
          <w:tcPr/>
          <w:p>
            <w:pPr>
              <w:pStyle w:val="Compact"/>
            </w:pPr>
            <w:r>
              <w:t xml:space="preserve">Avg margin spread per Rx</w:t>
            </w:r>
          </w:p>
        </w:tc>
        <w:tc>
          <w:tcPr/>
          <w:p>
            <w:pPr>
              <w:pStyle w:val="Compact"/>
            </w:pPr>
            <w:r>
              <w:t xml:space="preserve">Pricing power</w:t>
            </w:r>
          </w:p>
        </w:tc>
        <w:tc>
          <w:tcPr/>
          <w:p>
            <w:pPr>
              <w:pStyle w:val="Compact"/>
            </w:pPr>
            <w:r>
              <w:t xml:space="preserve">$120</w:t>
            </w:r>
          </w:p>
        </w:tc>
        <w:tc>
          <w:tcPr/>
          <w:p>
            <w:pPr>
              <w:pStyle w:val="Compact"/>
            </w:pPr>
            <w:r>
              <w:t xml:space="preserve">$140-$160</w:t>
            </w:r>
          </w:p>
        </w:tc>
      </w:tr>
      <w:tr>
        <w:tc>
          <w:tcPr/>
          <w:p>
            <w:pPr>
              <w:pStyle w:val="Compact"/>
            </w:pPr>
            <w:r>
              <w:t xml:space="preserve">LTV per clinic (projected)</w:t>
            </w:r>
          </w:p>
        </w:tc>
        <w:tc>
          <w:tcPr/>
          <w:p>
            <w:pPr>
              <w:pStyle w:val="Compact"/>
            </w:pPr>
            <w:r>
              <w:t xml:space="preserve">Unit economics</w:t>
            </w:r>
          </w:p>
        </w:tc>
        <w:tc>
          <w:tcPr/>
          <w:p>
            <w:pPr>
              <w:pStyle w:val="Compact"/>
            </w:pPr>
            <w:r>
              <w:t xml:space="preserve">N/A</w:t>
            </w:r>
          </w:p>
        </w:tc>
        <w:tc>
          <w:tcPr/>
          <w:p>
            <w:pPr>
              <w:pStyle w:val="Compact"/>
            </w:pPr>
            <w:r>
              <w:t xml:space="preserve">$500+/month</w:t>
            </w:r>
          </w:p>
        </w:tc>
      </w:tr>
    </w:tbl>
    <w:p>
      <w:pPr>
        <w:pStyle w:val="BodyText"/>
      </w:pPr>
      <w:r>
        <w:rPr>
          <w:b/>
          <w:bCs/>
        </w:rPr>
        <w:t xml:space="preserve">Operational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Avg time-to-order (MA workflow)</w:t>
            </w:r>
          </w:p>
        </w:tc>
        <w:tc>
          <w:tcPr/>
          <w:p>
            <w:pPr>
              <w:pStyle w:val="Compact"/>
            </w:pPr>
            <w:r>
              <w:t xml:space="preserve">UX quality</w:t>
            </w:r>
          </w:p>
        </w:tc>
        <w:tc>
          <w:tcPr/>
          <w:p>
            <w:pPr>
              <w:pStyle w:val="Compact"/>
            </w:pPr>
            <w:r>
              <w:t xml:space="preserve">&lt;60 sec</w:t>
            </w:r>
          </w:p>
        </w:tc>
        <w:tc>
          <w:tcPr/>
          <w:p>
            <w:pPr>
              <w:pStyle w:val="Compact"/>
            </w:pPr>
            <w:r>
              <w:t xml:space="preserve">&lt;30 sec</w:t>
            </w:r>
          </w:p>
        </w:tc>
      </w:tr>
      <w:tr>
        <w:tc>
          <w:tcPr/>
          <w:p>
            <w:pPr>
              <w:pStyle w:val="Compact"/>
            </w:pPr>
            <w:r>
              <w:t xml:space="preserve">SLA breach rate</w:t>
            </w:r>
          </w:p>
        </w:tc>
        <w:tc>
          <w:tcPr/>
          <w:p>
            <w:pPr>
              <w:pStyle w:val="Compact"/>
            </w:pPr>
            <w:r>
              <w:t xml:space="preserve">Operational discipline</w:t>
            </w:r>
          </w:p>
        </w:tc>
        <w:tc>
          <w:tcPr/>
          <w:p>
            <w:pPr>
              <w:pStyle w:val="Compact"/>
            </w:pPr>
            <w:r>
              <w:t xml:space="preserve">&lt;20%</w:t>
            </w:r>
          </w:p>
        </w:tc>
        <w:tc>
          <w:tcPr/>
          <w:p>
            <w:pPr>
              <w:pStyle w:val="Compact"/>
            </w:pPr>
            <w:r>
              <w:t xml:space="preserve">&lt;5%</w:t>
            </w:r>
          </w:p>
        </w:tc>
      </w:tr>
      <w:tr>
        <w:tc>
          <w:tcPr/>
          <w:p>
            <w:pPr>
              <w:pStyle w:val="Compact"/>
            </w:pPr>
            <w:r>
              <w:t xml:space="preserve">Patient checkout completion rate</w:t>
            </w:r>
          </w:p>
        </w:tc>
        <w:tc>
          <w:tcPr/>
          <w:p>
            <w:pPr>
              <w:pStyle w:val="Compact"/>
            </w:pPr>
            <w:r>
              <w:t xml:space="preserve">Checkout UX</w:t>
            </w:r>
          </w:p>
        </w:tc>
        <w:tc>
          <w:tcPr/>
          <w:p>
            <w:pPr>
              <w:pStyle w:val="Compact"/>
            </w:pPr>
            <w:r>
              <w:t xml:space="preserve">&gt;60%</w:t>
            </w:r>
          </w:p>
        </w:tc>
        <w:tc>
          <w:tcPr/>
          <w:p>
            <w:pPr>
              <w:pStyle w:val="Compact"/>
            </w:pPr>
            <w:r>
              <w:t xml:space="preserve">&gt;80%</w:t>
            </w:r>
          </w:p>
        </w:tc>
      </w:tr>
      <w:tr>
        <w:tc>
          <w:tcPr/>
          <w:p>
            <w:pPr>
              <w:pStyle w:val="Compact"/>
            </w:pPr>
            <w:r>
              <w:t xml:space="preserve">Fax delivery success rate</w:t>
            </w:r>
          </w:p>
        </w:tc>
        <w:tc>
          <w:tcPr/>
          <w:p>
            <w:pPr>
              <w:pStyle w:val="Compact"/>
            </w:pPr>
            <w:r>
              <w:t xml:space="preserve">Tier 4 reliability</w:t>
            </w:r>
          </w:p>
        </w:tc>
        <w:tc>
          <w:tcPr/>
          <w:p>
            <w:pPr>
              <w:pStyle w:val="Compact"/>
            </w:pPr>
            <w:r>
              <w:t xml:space="preserve">&gt;90%</w:t>
            </w:r>
          </w:p>
        </w:tc>
        <w:tc>
          <w:tcPr/>
          <w:p>
            <w:pPr>
              <w:pStyle w:val="Compact"/>
            </w:pPr>
            <w:r>
              <w:t xml:space="preserve">&gt;98%</w:t>
            </w:r>
          </w:p>
        </w:tc>
      </w:tr>
      <w:tr>
        <w:tc>
          <w:tcPr/>
          <w:p>
            <w:pPr>
              <w:pStyle w:val="Compact"/>
            </w:pPr>
            <w:r>
              <w:t xml:space="preserve">Support tickets per 100 orders</w:t>
            </w:r>
          </w:p>
        </w:tc>
        <w:tc>
          <w:tcPr/>
          <w:p>
            <w:pPr>
              <w:pStyle w:val="Compact"/>
            </w:pPr>
            <w:r>
              <w:t xml:space="preserve">Platform stability</w:t>
            </w:r>
          </w:p>
        </w:tc>
        <w:tc>
          <w:tcPr/>
          <w:p>
            <w:pPr>
              <w:pStyle w:val="Compact"/>
            </w:pPr>
            <w:r>
              <w:t xml:space="preserve">&lt;15</w:t>
            </w:r>
          </w:p>
        </w:tc>
        <w:tc>
          <w:tcPr/>
          <w:p>
            <w:pPr>
              <w:pStyle w:val="Compact"/>
            </w:pPr>
            <w:r>
              <w:t xml:space="preserve">&lt;5</w:t>
            </w:r>
          </w:p>
        </w:tc>
      </w:tr>
    </w:tbl>
    <w:p>
      <w:r>
        <w:pict>
          <v:rect style="width:0;height:1.5pt" o:hralign="center" o:hrstd="t" o:hr="t"/>
        </w:pict>
      </w:r>
    </w:p>
    <w:bookmarkEnd w:id="53"/>
    <w:bookmarkEnd w:id="54"/>
    <w:bookmarkStart w:id="61" w:name="Xc6028056d139a10fb4b0052a6e63cb3a415fa1a"/>
    <w:p>
      <w:pPr>
        <w:pStyle w:val="Heading2"/>
      </w:pPr>
      <w:r>
        <w:t xml:space="preserve">14. Seed Capital Strategy — For Strategic Angel Partners</w:t>
      </w:r>
    </w:p>
    <w:bookmarkStart w:id="55"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
          <w:bCs/>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55"/>
    <w:bookmarkStart w:id="56" w:name="the-ask-250k500k-pre-seed-angel-round"/>
    <w:p>
      <w:pPr>
        <w:pStyle w:val="Heading3"/>
      </w:pPr>
      <w:r>
        <w:t xml:space="preserve">The Ask: $250K–$500K Pre-Seed / Angel Round</w:t>
      </w:r>
    </w:p>
    <w:p>
      <w:pPr>
        <w:pStyle w:val="FirstParagraph"/>
      </w:pPr>
      <w:r>
        <w:rPr>
          <w:b/>
          <w:bCs/>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Parameter</w:t>
            </w:r>
          </w:p>
        </w:tc>
        <w:tc>
          <w:tcPr/>
          <w:p>
            <w:pPr>
              <w:pStyle w:val="Compact"/>
            </w:pPr>
            <w:r>
              <w:t xml:space="preserve">Proposed Terms</w:t>
            </w:r>
          </w:p>
        </w:tc>
      </w:tr>
      <w:tr>
        <w:tc>
          <w:tcPr/>
          <w:p>
            <w:pPr>
              <w:pStyle w:val="Compact"/>
            </w:pPr>
            <w:r>
              <w:t xml:space="preserve">Round size</w:t>
            </w:r>
          </w:p>
        </w:tc>
        <w:tc>
          <w:tcPr/>
          <w:p>
            <w:pPr>
              <w:pStyle w:val="Compact"/>
            </w:pPr>
            <w:r>
              <w:t xml:space="preserve">$250K–$500K</w:t>
            </w:r>
          </w:p>
        </w:tc>
      </w:tr>
      <w:tr>
        <w:tc>
          <w:tcPr/>
          <w:p>
            <w:pPr>
              <w:pStyle w:val="Compact"/>
            </w:pPr>
            <w:r>
              <w:t xml:space="preserve">Instrument</w:t>
            </w:r>
          </w:p>
        </w:tc>
        <w:tc>
          <w:tcPr/>
          <w:p>
            <w:pPr>
              <w:pStyle w:val="Compact"/>
            </w:pPr>
            <w:r>
              <w:t xml:space="preserve">SAFE (post-money)</w:t>
            </w:r>
          </w:p>
        </w:tc>
      </w:tr>
      <w:tr>
        <w:tc>
          <w:tcPr/>
          <w:p>
            <w:pPr>
              <w:pStyle w:val="Compact"/>
            </w:pPr>
            <w:r>
              <w:t xml:space="preserve">Valuation cap</w:t>
            </w:r>
          </w:p>
        </w:tc>
        <w:tc>
          <w:tcPr/>
          <w:p>
            <w:pPr>
              <w:pStyle w:val="Compact"/>
            </w:pPr>
            <w:r>
              <w:t xml:space="preserve">$3M–$5M (to be negotiated)</w:t>
            </w:r>
          </w:p>
        </w:tc>
      </w:tr>
      <w:tr>
        <w:tc>
          <w:tcPr/>
          <w:p>
            <w:pPr>
              <w:pStyle w:val="Compact"/>
            </w:pPr>
            <w:r>
              <w:t xml:space="preserve">Discount</w:t>
            </w:r>
          </w:p>
        </w:tc>
        <w:tc>
          <w:tcPr/>
          <w:p>
            <w:pPr>
              <w:pStyle w:val="Compact"/>
            </w:pPr>
            <w:r>
              <w:t xml:space="preserve">20% (standard for SAFE)</w:t>
            </w:r>
          </w:p>
        </w:tc>
      </w:tr>
      <w:tr>
        <w:tc>
          <w:tcPr/>
          <w:p>
            <w:pPr>
              <w:pStyle w:val="Compact"/>
            </w:pPr>
            <w:r>
              <w:t xml:space="preserve">Pro-rata rights</w:t>
            </w:r>
          </w:p>
        </w:tc>
        <w:tc>
          <w:tcPr/>
          <w:p>
            <w:pPr>
              <w:pStyle w:val="Compact"/>
            </w:pPr>
            <w:r>
              <w:t xml:space="preserve">Yes — angels can maintain their ownership % in future rounds</w:t>
            </w:r>
          </w:p>
        </w:tc>
      </w:tr>
      <w:tr>
        <w:tc>
          <w:tcPr/>
          <w:p>
            <w:pPr>
              <w:pStyle w:val="Compact"/>
            </w:pPr>
            <w:r>
              <w:t xml:space="preserve">Minimum check</w:t>
            </w:r>
          </w:p>
        </w:tc>
        <w:tc>
          <w:tcPr/>
          <w:p>
            <w:pPr>
              <w:pStyle w:val="Compact"/>
            </w:pPr>
            <w:r>
              <w:t xml:space="preserve">$25K</w:t>
            </w:r>
          </w:p>
        </w:tc>
      </w:tr>
      <w:tr>
        <w:tc>
          <w:tcPr/>
          <w:p>
            <w:pPr>
              <w:pStyle w:val="Compact"/>
            </w:pPr>
            <w:r>
              <w:t xml:space="preserve">Target close</w:t>
            </w:r>
          </w:p>
        </w:tc>
        <w:tc>
          <w:tcPr/>
          <w:p>
            <w:pPr>
              <w:pStyle w:val="Compact"/>
            </w:pPr>
            <w:r>
              <w:t xml:space="preserve">Rolling (accept checks as they come)</w:t>
            </w:r>
          </w:p>
        </w:tc>
      </w:tr>
      <w:tr>
        <w:tc>
          <w:tcPr/>
          <w:p>
            <w:pPr>
              <w:pStyle w:val="Compact"/>
            </w:pPr>
            <w:r>
              <w:t xml:space="preserve">Board seats</w:t>
            </w:r>
          </w:p>
        </w:tc>
        <w:tc>
          <w:tcPr/>
          <w:p>
            <w:pPr>
              <w:pStyle w:val="Compact"/>
            </w:pPr>
            <w:r>
              <w:t xml:space="preserve">None required — quarterly update calls + investor updates</w:t>
            </w:r>
          </w:p>
        </w:tc>
      </w:tr>
    </w:tbl>
    <w:p>
      <w:pPr>
        <w:pStyle w:val="BodyText"/>
      </w:pPr>
      <w:r>
        <w:rPr>
          <w:b/>
          <w:bCs/>
        </w:rPr>
        <w:t xml:space="preserve">Why this valuation range:</w:t>
      </w:r>
      <w:r>
        <w:t xml:space="preserve"> </w:t>
      </w:r>
      <w:r>
        <w:t xml:space="preserve">B2B healthcare SaaS pre-seed rounds in 2026 are closing at $500K–$2M on $3M–$6M caps. CompoundIQ has a functional product (</w:t>
      </w:r>
      <w:r>
        <w:rPr>
          <w:b/>
          <w:bCs/>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56"/>
    <w:bookmarkStart w:id="57"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$80K</w:t>
            </w:r>
          </w:p>
        </w:tc>
        <w:tc>
          <w:tcPr/>
          <w:p>
            <w:pPr>
              <w:pStyle w:val="Compact"/>
            </w:pPr>
            <w:r>
              <w:t xml:space="preserve">32%</w:t>
            </w:r>
          </w:p>
        </w:tc>
        <w:tc>
          <w:tcPr/>
          <w:p>
            <w:pPr>
              <w:pStyle w:val="Compact"/>
            </w:pPr>
            <w:r>
              <w:t xml:space="preserve">LegitScript certification ($2.2K), Stripe activation, design partner clinic onboarding (target: 10-15 clinics), pharmacy catalog data acquisition, conference sponsorships (A4M, IFM conferences)</w:t>
            </w:r>
          </w:p>
        </w:tc>
      </w:tr>
      <w:tr>
        <w:tc>
          <w:tcPr/>
          <w:p>
            <w:pPr>
              <w:pStyle w:val="Compact"/>
            </w:pPr>
            <w:r>
              <w:rPr>
                <w:b/>
                <w:bCs/>
              </w:rPr>
              <w:t xml:space="preserve">Engineering</w:t>
            </w:r>
          </w:p>
        </w:tc>
        <w:tc>
          <w:tcPr/>
          <w:p>
            <w:pPr>
              <w:pStyle w:val="Compact"/>
            </w:pPr>
            <w:r>
              <w:t xml:space="preserve">$75K</w:t>
            </w:r>
          </w:p>
        </w:tc>
        <w:tc>
          <w:tcPr/>
          <w:p>
            <w:pPr>
              <w:pStyle w:val="Compact"/>
            </w:pPr>
            <w:r>
              <w:t xml:space="preserve">30%</w:t>
            </w:r>
          </w:p>
        </w:tc>
        <w:tc>
          <w:tcPr/>
          <w:p>
            <w:pPr>
              <w:pStyle w:val="Compact"/>
            </w:pPr>
            <w:r>
              <w:t xml:space="preserve">LifeFile API integration, Tier 2 portal automation (Olympia, Wells), titration kit ordering, native Cerbo integration spike, mobile optimization</w:t>
            </w:r>
          </w:p>
        </w:tc>
      </w:tr>
      <w:tr>
        <w:tc>
          <w:tcPr/>
          <w:p>
            <w:pPr>
              <w:pStyle w:val="Compact"/>
            </w:pPr>
            <w:r>
              <w:rPr>
                <w:b/>
                <w:bCs/>
              </w:rPr>
              <w:t xml:space="preserve">Infrastructure</w:t>
            </w:r>
          </w:p>
        </w:tc>
        <w:tc>
          <w:tcPr/>
          <w:p>
            <w:pPr>
              <w:pStyle w:val="Compact"/>
            </w:pPr>
            <w:r>
              <w:t xml:space="preserve">$35K</w:t>
            </w:r>
          </w:p>
        </w:tc>
        <w:tc>
          <w:tcPr/>
          <w:p>
            <w:pPr>
              <w:pStyle w:val="Compact"/>
            </w:pPr>
            <w:r>
              <w:t xml:space="preserve">14%</w:t>
            </w:r>
          </w:p>
        </w:tc>
        <w:tc>
          <w:tcPr/>
          <w:p>
            <w:pPr>
              <w:pStyle w:val="Compact"/>
            </w:pPr>
            <w:r>
              <w:t xml:space="preserve">Twilio SMS (patient notifications + reminders), Documo fax (pharmacy submissions), Vercel Pro, Supabase Pro, Sentry, domain + branding</w:t>
            </w:r>
          </w:p>
        </w:tc>
      </w:tr>
      <w:tr>
        <w:tc>
          <w:tcPr/>
          <w:p>
            <w:pPr>
              <w:pStyle w:val="Compact"/>
            </w:pPr>
            <w:r>
              <w:rPr>
                <w:b/>
                <w:bCs/>
              </w:rPr>
              <w:t xml:space="preserve">Legal &amp; Compliance</w:t>
            </w:r>
          </w:p>
        </w:tc>
        <w:tc>
          <w:tcPr/>
          <w:p>
            <w:pPr>
              <w:pStyle w:val="Compact"/>
            </w:pPr>
            <w:r>
              <w:t xml:space="preserve">$30K</w:t>
            </w:r>
          </w:p>
        </w:tc>
        <w:tc>
          <w:tcPr/>
          <w:p>
            <w:pPr>
              <w:pStyle w:val="Compact"/>
            </w:pPr>
            <w:r>
              <w:t xml:space="preserve">12%</w:t>
            </w:r>
          </w:p>
        </w:tc>
        <w:tc>
          <w:tcPr/>
          <w:p>
            <w:pPr>
              <w:pStyle w:val="Compact"/>
            </w:pPr>
            <w:r>
              <w:t xml:space="preserve">HIPAA compliance review + BAAs, entity formation (Delaware C-Corp if not already), IP assignment, pharmacy integration agreements, terms of service / privacy policy</w:t>
            </w:r>
          </w:p>
        </w:tc>
      </w:tr>
      <w:tr>
        <w:tc>
          <w:tcPr/>
          <w:p>
            <w:pPr>
              <w:pStyle w:val="Compact"/>
            </w:pPr>
            <w:r>
              <w:rPr>
                <w:b/>
                <w:bCs/>
              </w:rPr>
              <w:t xml:space="preserve">Operating Reserve</w:t>
            </w:r>
          </w:p>
        </w:tc>
        <w:tc>
          <w:tcPr/>
          <w:p>
            <w:pPr>
              <w:pStyle w:val="Compact"/>
            </w:pPr>
            <w:r>
              <w:t xml:space="preserve">$30K</w:t>
            </w:r>
          </w:p>
        </w:tc>
        <w:tc>
          <w:tcPr/>
          <w:p>
            <w:pPr>
              <w:pStyle w:val="Compact"/>
            </w:pPr>
            <w:r>
              <w:t xml:space="preserve">12%</w:t>
            </w:r>
          </w:p>
        </w:tc>
        <w:tc>
          <w:tcPr/>
          <w:p>
            <w:pPr>
              <w:pStyle w:val="Compact"/>
            </w:pPr>
            <w:r>
              <w:t xml:space="preserve">3-month buffer for founder living expenses, unexpected costs, runway extension</w:t>
            </w:r>
          </w:p>
        </w:tc>
      </w:tr>
      <w:tr>
        <w:tc>
          <w:tcPr/>
          <w:p>
            <w:pPr>
              <w:pStyle w:val="Compact"/>
            </w:pPr>
            <w:r>
              <w:rPr>
                <w:b/>
                <w:bCs/>
              </w:rPr>
              <w:t xml:space="preserve">Total</w:t>
            </w:r>
          </w:p>
        </w:tc>
        <w:tc>
          <w:tcPr/>
          <w:p>
            <w:pPr>
              <w:pStyle w:val="Compact"/>
            </w:pPr>
            <w:r>
              <w:rPr>
                <w:b/>
                <w:bCs/>
              </w:rPr>
              <w:t xml:space="preserve">$250K</w:t>
            </w:r>
          </w:p>
        </w:tc>
        <w:tc>
          <w:tcPr/>
          <w:p>
            <w:pPr>
              <w:pStyle w:val="Compact"/>
            </w:pPr>
            <w:r>
              <w:rPr>
                <w:b/>
                <w:bCs/>
              </w:rPr>
              <w:t xml:space="preserve">100%</w:t>
            </w:r>
          </w:p>
        </w:tc>
        <w:tc>
          <w:tcPr/>
          <w:p>
            <w:pPr>
              <w:pStyle w:val="Compact"/>
            </w:pPr>
            <w:r>
              <w:rPr>
                <w:b/>
                <w:bCs/>
              </w:rPr>
              <w:t xml:space="preserve">18-month runway to seed-round traction</w:t>
            </w:r>
          </w:p>
        </w:tc>
      </w:tr>
    </w:tbl>
    <w:bookmarkEnd w:id="57"/>
    <w:bookmarkStart w:id="58"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$150K</w:t>
            </w:r>
          </w:p>
        </w:tc>
        <w:tc>
          <w:tcPr/>
          <w:p>
            <w:pPr>
              <w:pStyle w:val="Compact"/>
            </w:pPr>
            <w:r>
              <w:t xml:space="preserve">30%</w:t>
            </w:r>
          </w:p>
        </w:tc>
        <w:tc>
          <w:tcPr/>
          <w:p>
            <w:pPr>
              <w:pStyle w:val="Compact"/>
            </w:pPr>
            <w:r>
              <w:t xml:space="preserve">Everything in $250K plan + dedicated clinic success manager (part-time/contract), expanded conference presence, content marketing, targeted outreach to 50+ clinics</w:t>
            </w:r>
          </w:p>
        </w:tc>
      </w:tr>
      <w:tr>
        <w:tc>
          <w:tcPr/>
          <w:p>
            <w:pPr>
              <w:pStyle w:val="Compact"/>
            </w:pPr>
            <w:r>
              <w:rPr>
                <w:b/>
                <w:bCs/>
              </w:rPr>
              <w:t xml:space="preserve">Engineering</w:t>
            </w:r>
          </w:p>
        </w:tc>
        <w:tc>
          <w:tcPr/>
          <w:p>
            <w:pPr>
              <w:pStyle w:val="Compact"/>
            </w:pPr>
            <w:r>
              <w:t xml:space="preserve">$150K</w:t>
            </w:r>
          </w:p>
        </w:tc>
        <w:tc>
          <w:tcPr/>
          <w:p>
            <w:pPr>
              <w:pStyle w:val="Compact"/>
            </w:pPr>
            <w:r>
              <w:t xml:space="preserve">30%</w:t>
            </w:r>
          </w:p>
        </w:tc>
        <w:tc>
          <w:tcPr/>
          <w:p>
            <w:pPr>
              <w:pStyle w:val="Compact"/>
            </w:pPr>
            <w:r>
              <w:t xml:space="preserve">Everything in $250K plan + contract developer for protocol template engine v2 (lab-gated phase advancement), titration builder polish, mobile optimization, analytics dashboard for clinics</w:t>
            </w:r>
          </w:p>
        </w:tc>
      </w:tr>
      <w:tr>
        <w:tc>
          <w:tcPr/>
          <w:p>
            <w:pPr>
              <w:pStyle w:val="Compact"/>
            </w:pPr>
            <w:r>
              <w:rPr>
                <w:b/>
                <w:bCs/>
              </w:rPr>
              <w:t xml:space="preserve">Infrastructure</w:t>
            </w:r>
          </w:p>
        </w:tc>
        <w:tc>
          <w:tcPr/>
          <w:p>
            <w:pPr>
              <w:pStyle w:val="Compact"/>
            </w:pPr>
            <w:r>
              <w:t xml:space="preserve">$50K</w:t>
            </w:r>
          </w:p>
        </w:tc>
        <w:tc>
          <w:tcPr/>
          <w:p>
            <w:pPr>
              <w:pStyle w:val="Compact"/>
            </w:pPr>
            <w:r>
              <w:t xml:space="preserve">10%</w:t>
            </w:r>
          </w:p>
        </w:tc>
        <w:tc>
          <w:tcPr/>
          <w:p>
            <w:pPr>
              <w:pStyle w:val="Compact"/>
            </w:pPr>
            <w:r>
              <w:t xml:space="preserve">Production-grade hosting, monitoring, and third-party services at scale</w:t>
            </w:r>
          </w:p>
        </w:tc>
      </w:tr>
      <w:tr>
        <w:tc>
          <w:tcPr/>
          <w:p>
            <w:pPr>
              <w:pStyle w:val="Compact"/>
            </w:pPr>
            <w:r>
              <w:rPr>
                <w:b/>
                <w:bCs/>
              </w:rPr>
              <w:t xml:space="preserve">Legal &amp; Compliance</w:t>
            </w:r>
          </w:p>
        </w:tc>
        <w:tc>
          <w:tcPr/>
          <w:p>
            <w:pPr>
              <w:pStyle w:val="Compact"/>
            </w:pPr>
            <w:r>
              <w:t xml:space="preserve">$50K</w:t>
            </w:r>
          </w:p>
        </w:tc>
        <w:tc>
          <w:tcPr/>
          <w:p>
            <w:pPr>
              <w:pStyle w:val="Compact"/>
            </w:pPr>
            <w:r>
              <w:t xml:space="preserve">10%</w:t>
            </w:r>
          </w:p>
        </w:tc>
        <w:tc>
          <w:tcPr/>
          <w:p>
            <w:pPr>
              <w:pStyle w:val="Compact"/>
            </w:pPr>
            <w:r>
              <w:t xml:space="preserve">Everything in $250K plan + state-by-state pharmacy shipping law audit, DEA compliance review for EPCS, pharmacy BAA templates</w:t>
            </w:r>
          </w:p>
        </w:tc>
      </w:tr>
      <w:tr>
        <w:tc>
          <w:tcPr/>
          <w:p>
            <w:pPr>
              <w:pStyle w:val="Compact"/>
            </w:pPr>
            <w:r>
              <w:rPr>
                <w:b/>
                <w:bCs/>
              </w:rPr>
              <w:t xml:space="preserve">Operating Reserve</w:t>
            </w:r>
          </w:p>
        </w:tc>
        <w:tc>
          <w:tcPr/>
          <w:p>
            <w:pPr>
              <w:pStyle w:val="Compact"/>
            </w:pPr>
            <w:r>
              <w:t xml:space="preserve">$100K</w:t>
            </w:r>
          </w:p>
        </w:tc>
        <w:tc>
          <w:tcPr/>
          <w:p>
            <w:pPr>
              <w:pStyle w:val="Compact"/>
            </w:pPr>
            <w:r>
              <w:t xml:space="preserve">20%</w:t>
            </w:r>
          </w:p>
        </w:tc>
        <w:tc>
          <w:tcPr/>
          <w:p>
            <w:pPr>
              <w:pStyle w:val="Compact"/>
            </w:pPr>
            <w:r>
              <w:t xml:space="preserve">6-month buffer, co-founder stipend, ability to extend runway to 24 months if needed</w:t>
            </w:r>
          </w:p>
        </w:tc>
      </w:tr>
      <w:tr>
        <w:tc>
          <w:tcPr/>
          <w:p>
            <w:pPr>
              <w:pStyle w:val="Compact"/>
            </w:pPr>
            <w:r>
              <w:rPr>
                <w:b/>
                <w:bCs/>
              </w:rPr>
              <w:t xml:space="preserve">Total</w:t>
            </w:r>
          </w:p>
        </w:tc>
        <w:tc>
          <w:tcPr/>
          <w:p>
            <w:pPr>
              <w:pStyle w:val="Compact"/>
            </w:pPr>
            <w:r>
              <w:rPr>
                <w:b/>
                <w:bCs/>
              </w:rPr>
              <w:t xml:space="preserve">$500K</w:t>
            </w:r>
          </w:p>
        </w:tc>
        <w:tc>
          <w:tcPr/>
          <w:p>
            <w:pPr>
              <w:pStyle w:val="Compact"/>
            </w:pPr>
            <w:r>
              <w:rPr>
                <w:b/>
                <w:bCs/>
              </w:rPr>
              <w:t xml:space="preserve">100%</w:t>
            </w:r>
          </w:p>
        </w:tc>
        <w:tc>
          <w:tcPr/>
          <w:p>
            <w:pPr>
              <w:pStyle w:val="Compact"/>
            </w:pPr>
            <w:r>
              <w:rPr>
                <w:b/>
                <w:bCs/>
              </w:rPr>
              <w:t xml:space="preserve">18-24 month runway with faster path to seed</w:t>
            </w:r>
          </w:p>
        </w:tc>
      </w:tr>
    </w:tbl>
    <w:bookmarkEnd w:id="58"/>
    <w:bookmarkStart w:id="59"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ayout w:type="fixed"/>
        <w:tblLook w:firstRow="1" w:lastRow="0" w:firstColumn="0" w:lastColumn="0" w:noHBand="0" w:noVBand="0" w:val="0020"/>
      </w:tblPr>
      <w:tblGrid>
        <w:gridCol w:w="2489"/>
        <w:gridCol w:w="1810"/>
        <w:gridCol w:w="3620"/>
      </w:tblGrid>
      <w:tr>
        <w:trPr>
          <w:tblHeader w:val="on"/>
        </w:trPr>
        <w:tc>
          <w:tcPr/>
          <w:p>
            <w:pPr>
              <w:pStyle w:val="Compact"/>
            </w:pPr>
            <w:r>
              <w:t xml:space="preserve">Milestone</w:t>
            </w:r>
          </w:p>
        </w:tc>
        <w:tc>
          <w:tcPr/>
          <w:p>
            <w:pPr>
              <w:pStyle w:val="Compact"/>
            </w:pPr>
            <w:r>
              <w:t xml:space="preserve">Target</w:t>
            </w:r>
          </w:p>
        </w:tc>
        <w:tc>
          <w:tcPr/>
          <w:p>
            <w:pPr>
              <w:pStyle w:val="Compact"/>
            </w:pPr>
            <w:r>
              <w:t xml:space="preserve">Why It Matters</w:t>
            </w:r>
          </w:p>
        </w:tc>
      </w:tr>
      <w:tr>
        <w:tc>
          <w:tcPr/>
          <w:p>
            <w:pPr>
              <w:pStyle w:val="Compact"/>
            </w:pPr>
            <w:r>
              <w:t xml:space="preserve">Active clinics on platform</w:t>
            </w:r>
          </w:p>
        </w:tc>
        <w:tc>
          <w:tcPr/>
          <w:p>
            <w:pPr>
              <w:pStyle w:val="Compact"/>
            </w:pPr>
            <w:r>
              <w:t xml:space="preserve">10-15</w:t>
            </w:r>
          </w:p>
        </w:tc>
        <w:tc>
          <w:tcPr/>
          <w:p>
            <w:pPr>
              <w:pStyle w:val="Compact"/>
            </w:pPr>
            <w:r>
              <w:t xml:space="preserve">Proves repeatable onboarding</w:t>
            </w:r>
          </w:p>
        </w:tc>
      </w:tr>
      <w:tr>
        <w:tc>
          <w:tcPr/>
          <w:p>
            <w:pPr>
              <w:pStyle w:val="Compact"/>
            </w:pPr>
            <w:r>
              <w:t xml:space="preserve">Monthly GMV</w:t>
            </w:r>
          </w:p>
        </w:tc>
        <w:tc>
          <w:tcPr/>
          <w:p>
            <w:pPr>
              <w:pStyle w:val="Compact"/>
            </w:pPr>
            <w:r>
              <w:t xml:space="preserve">$100K+</w:t>
            </w:r>
          </w:p>
        </w:tc>
        <w:tc>
          <w:tcPr/>
          <w:p>
            <w:pPr>
              <w:pStyle w:val="Compact"/>
            </w:pPr>
            <w:r>
              <w:t xml:space="preserve">Proves transaction volume</w:t>
            </w:r>
          </w:p>
        </w:tc>
      </w:tr>
      <w:tr>
        <w:tc>
          <w:tcPr/>
          <w:p>
            <w:pPr>
              <w:pStyle w:val="Compact"/>
            </w:pPr>
            <w:r>
              <w:t xml:space="preserve">Monthly platform revenue</w:t>
            </w:r>
          </w:p>
        </w:tc>
        <w:tc>
          <w:tcPr/>
          <w:p>
            <w:pPr>
              <w:pStyle w:val="Compact"/>
            </w:pPr>
            <w:r>
              <w:t xml:space="preserve">$8K-$15K</w:t>
            </w:r>
          </w:p>
        </w:tc>
        <w:tc>
          <w:tcPr/>
          <w:p>
            <w:pPr>
              <w:pStyle w:val="Compact"/>
            </w:pPr>
            <w:r>
              <w:t xml:space="preserve">Proves revenue model works</w:t>
            </w:r>
          </w:p>
        </w:tc>
      </w:tr>
      <w:tr>
        <w:tc>
          <w:tcPr/>
          <w:p>
            <w:pPr>
              <w:pStyle w:val="Compact"/>
            </w:pPr>
            <w:r>
              <w:t xml:space="preserve">Clinic retention (90-day)</w:t>
            </w:r>
          </w:p>
        </w:tc>
        <w:tc>
          <w:tcPr/>
          <w:p>
            <w:pPr>
              <w:pStyle w:val="Compact"/>
            </w:pPr>
            <w:r>
              <w:t xml:space="preserve">&gt;85%</w:t>
            </w:r>
          </w:p>
        </w:tc>
        <w:tc>
          <w:tcPr/>
          <w:p>
            <w:pPr>
              <w:pStyle w:val="Compact"/>
            </w:pPr>
            <w:r>
              <w:t xml:space="preserve">Proves product stickiness</w:t>
            </w:r>
          </w:p>
        </w:tc>
      </w:tr>
      <w:tr>
        <w:tc>
          <w:tcPr/>
          <w:p>
            <w:pPr>
              <w:pStyle w:val="Compact"/>
            </w:pPr>
            <w:r>
              <w:t xml:space="preserve">Pharmacy partners with catalog data</w:t>
            </w:r>
          </w:p>
        </w:tc>
        <w:tc>
          <w:tcPr/>
          <w:p>
            <w:pPr>
              <w:pStyle w:val="Compact"/>
            </w:pPr>
            <w:r>
              <w:t xml:space="preserve">15-20</w:t>
            </w:r>
          </w:p>
        </w:tc>
        <w:tc>
          <w:tcPr/>
          <w:p>
            <w:pPr>
              <w:pStyle w:val="Compact"/>
            </w:pPr>
            <w:r>
              <w:t xml:space="preserve">Proves supply-side network</w:t>
            </w:r>
          </w:p>
        </w:tc>
      </w:tr>
      <w:tr>
        <w:tc>
          <w:tcPr/>
          <w:p>
            <w:pPr>
              <w:pStyle w:val="Compact"/>
            </w:pPr>
            <w:r>
              <w:t xml:space="preserve">At least 1 Tier 1 API integration live</w:t>
            </w:r>
          </w:p>
        </w:tc>
        <w:tc>
          <w:tcPr/>
          <w:p>
            <w:pPr>
              <w:pStyle w:val="Compact"/>
            </w:pPr>
            <w:r>
              <w:t xml:space="preserve">LifeFile or ReviveRX</w:t>
            </w:r>
          </w:p>
        </w:tc>
        <w:tc>
          <w:tcPr/>
          <w:p>
            <w:pPr>
              <w:pStyle w:val="Compact"/>
            </w:pPr>
            <w:r>
              <w:t xml:space="preserve">Proves technical moat</w:t>
            </w:r>
          </w:p>
        </w:tc>
      </w:tr>
      <w:tr>
        <w:tc>
          <w:tcPr/>
          <w:p>
            <w:pPr>
              <w:pStyle w:val="Compact"/>
            </w:pPr>
            <w:r>
              <w:t xml:space="preserve">Patient checkout conversion rate</w:t>
            </w:r>
          </w:p>
        </w:tc>
        <w:tc>
          <w:tcPr/>
          <w:p>
            <w:pPr>
              <w:pStyle w:val="Compact"/>
            </w:pPr>
            <w:r>
              <w:t xml:space="preserve">&gt;75%</w:t>
            </w:r>
          </w:p>
        </w:tc>
        <w:tc>
          <w:tcPr/>
          <w:p>
            <w:pPr>
              <w:pStyle w:val="Compact"/>
            </w:pPr>
            <w:r>
              <w:t xml:space="preserve">Proves consumer UX</w:t>
            </w:r>
          </w:p>
        </w:tc>
      </w:tr>
      <w:tr>
        <w:tc>
          <w:tcPr/>
          <w:p>
            <w:pPr>
              <w:pStyle w:val="Compact"/>
            </w:pPr>
            <w:r>
              <w:t xml:space="preserve">Prescriptions per clinic per month</w:t>
            </w:r>
          </w:p>
        </w:tc>
        <w:tc>
          <w:tcPr/>
          <w:p>
            <w:pPr>
              <w:pStyle w:val="Compact"/>
            </w:pPr>
            <w:r>
              <w:t xml:space="preserve">50+</w:t>
            </w:r>
          </w:p>
        </w:tc>
        <w:tc>
          <w:tcPr/>
          <w:p>
            <w:pPr>
              <w:pStyle w:val="Compact"/>
            </w:pPr>
            <w:r>
              <w:t xml:space="preserve">Proves workflow adoption</w:t>
            </w:r>
          </w:p>
        </w:tc>
      </w:tr>
      <w:tr>
        <w:tc>
          <w:tcPr/>
          <w:p>
            <w:pPr>
              <w:pStyle w:val="Compact"/>
            </w:pPr>
            <w:r>
              <w:t xml:space="preserve">EPCS-eligible prescriptions submitted</w:t>
            </w:r>
          </w:p>
        </w:tc>
        <w:tc>
          <w:tcPr/>
          <w:p>
            <w:pPr>
              <w:pStyle w:val="Compact"/>
            </w:pPr>
            <w:r>
              <w:t xml:space="preserve">25+</w:t>
            </w:r>
          </w:p>
        </w:tc>
        <w:tc>
          <w:tcPr/>
          <w:p>
            <w:pPr>
              <w:pStyle w:val="Compac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59"/>
    <w:bookmarkStart w:id="60" w:name="X33922b58dfd745c18f84996fd19f9d833cb999e"/>
    <w:p>
      <w:pPr>
        <w:pStyle w:val="Heading3"/>
      </w:pPr>
      <w:r>
        <w:t xml:space="preserve">What Makes This Attractive for Strategic Angels</w:t>
      </w:r>
    </w:p>
    <w:p>
      <w:pPr>
        <w:pStyle w:val="FirstParagraph"/>
      </w:pPr>
      <w:r>
        <w:rPr>
          <w:b/>
          <w:bCs/>
        </w:rPr>
        <w:t xml:space="preserve">For angels with healthcare exits:</w:t>
      </w:r>
    </w:p>
    <w:p>
      <w:pPr>
        <w:pStyle w:val="Compact"/>
        <w:numPr>
          <w:ilvl w:val="0"/>
          <w:numId w:val="1019"/>
        </w:numPr>
      </w:pPr>
      <w:r>
        <w:t xml:space="preserve">You’ve seen the pain of pharmacy workflow firsthand. This is the infrastructure layer that doesn’t exist yet — validated by 137 pages of competitive research confirming no platform fills this gap.</w:t>
      </w:r>
    </w:p>
    <w:p>
      <w:pPr>
        <w:pStyle w:val="Compact"/>
        <w:numPr>
          <w:ilvl w:val="0"/>
          <w:numId w:val="1019"/>
        </w:numPr>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
          <w:bCs/>
        </w:rPr>
        <w:t xml:space="preserve">For angels with marketplace exits:</w:t>
      </w:r>
    </w:p>
    <w:p>
      <w:pPr>
        <w:pStyle w:val="Compact"/>
        <w:numPr>
          <w:ilvl w:val="0"/>
          <w:numId w:val="1020"/>
        </w:numPr>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pStyle w:val="Compact"/>
        <w:numPr>
          <w:ilvl w:val="0"/>
          <w:numId w:val="1020"/>
        </w:numPr>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
          <w:bCs/>
        </w:rPr>
        <w:t xml:space="preserve">For angels with fintech exits:</w:t>
      </w:r>
    </w:p>
    <w:p>
      <w:pPr>
        <w:pStyle w:val="Compact"/>
        <w:numPr>
          <w:ilvl w:val="0"/>
          <w:numId w:val="1021"/>
        </w:numPr>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pStyle w:val="Compact"/>
        <w:numPr>
          <w:ilvl w:val="0"/>
          <w:numId w:val="1021"/>
        </w:numPr>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60"/>
    <w:bookmarkEnd w:id="61"/>
    <w:bookmarkStart w:id="62" w:name="key-talking-points"/>
    <w:p>
      <w:pPr>
        <w:pStyle w:val="Heading2"/>
      </w:pPr>
      <w:r>
        <w:t xml:space="preserve">15. Key Talking Points</w:t>
      </w:r>
    </w:p>
    <w:p>
      <w:pPr>
        <w:pStyle w:val="FirstParagraph"/>
      </w:pPr>
      <w:r>
        <w:rPr>
          <w:b/>
          <w:bCs/>
        </w:rPr>
        <w:t xml:space="preserve">For investors:</w:t>
      </w:r>
    </w:p>
    <w:p>
      <w:pPr>
        <w:pStyle w:val="BlockText"/>
      </w:pP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p>
    <w:p>
      <w:pPr>
        <w:pStyle w:val="FirstParagraph"/>
      </w:pPr>
      <w:r>
        <w:rPr>
          <w:b/>
          <w:bCs/>
        </w:rPr>
        <w:t xml:space="preserve">For clinic partners:</w:t>
      </w:r>
    </w:p>
    <w:p>
      <w:pPr>
        <w:pStyle w:val="BlockText"/>
      </w:pP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p>
    <w:p>
      <w:pPr>
        <w:pStyle w:val="FirstParagraph"/>
      </w:pPr>
      <w:r>
        <w:rPr>
          <w:b/>
          <w:bCs/>
        </w:rPr>
        <w:t xml:space="preserve">For pharmacy partners:</w:t>
      </w:r>
    </w:p>
    <w:p>
      <w:pPr>
        <w:pStyle w:val="BlockText"/>
      </w:pP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p>
    <w:p>
      <w:pPr>
        <w:pStyle w:val="FirstParagraph"/>
      </w:pPr>
      <w:r>
        <w:rPr>
          <w:b/>
          <w:bCs/>
        </w:rPr>
        <w:t xml:space="preserve">For patients:</w:t>
      </w:r>
    </w:p>
    <w:p>
      <w:pPr>
        <w:pStyle w:val="BlockText"/>
      </w:pPr>
      <w:r>
        <w:t xml:space="preserve">“You get a text with a payment link. Tap, pay, done. Your prescription is on its way. You’ll get updates by text as it progresses. We never expose your medication name in any payment receipt or text — your privacy is protected end to end.”</w:t>
      </w:r>
    </w:p>
    <w:p>
      <w:r>
        <w:pict>
          <v:rect style="width:0;height:1.5pt" o:hralign="center" o:hrstd="t" o:hr="t"/>
        </w:pict>
      </w:r>
    </w:p>
    <w:p>
      <w:pPr>
        <w:pStyle w:val="FirstParagraph"/>
      </w:pPr>
      <w:r>
        <w:rPr>
          <w:i/>
          <w:iCs/>
        </w:rPr>
        <w:t xml:space="preserve">CompoundIQ — Intelligent sourcing. Automated fulfillment. Transparent pricing. EPCS compliant.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2026-04-17T15:39:16Z</dcterms:created>
  <dcterms:modified xsi:type="dcterms:W3CDTF">2026-04-17T15:39:16Z</dcterms:modified>
</cp:coreProperties>
</file>

<file path=docProps/custom.xml><?xml version="1.0" encoding="utf-8"?>
<Properties xmlns="http://schemas.openxmlformats.org/officeDocument/2006/custom-properties" xmlns:vt="http://schemas.openxmlformats.org/officeDocument/2006/docPropsVTypes"/>
</file>