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13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</w:pPr>
            <w:r>
              <w:t xml:space="preserve">Week 2-3 —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</w:pPr>
            <w:r>
              <w:t xml:space="preserve">Week 1-2 — send after a clinic verbally commits</w:t>
            </w:r>
          </w:p>
        </w:tc>
      </w:tr>
    </w:tbl>
    <w:bookmarkEnd w:id="13"/>
    <w:bookmarkStart w:id="14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14"/>
    <w:bookmarkStart w:id="15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/>
          <w:bCs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15"/>
    <w:bookmarkStart w:id="16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16"/>
    <w:bookmarkStart w:id="17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week-1 cash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 this README as you hit each milestone.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linic-outreach-email.md" TargetMode="External" /><Relationship Type="http://schemas.openxmlformats.org/officeDocument/2006/relationships/hyperlink" Id="rId12" Target="design-partner-agreement.md" TargetMode="External" /><Relationship Type="http://schemas.openxmlformats.org/officeDocument/2006/relationships/hyperlink" Id="rId11" Target="legitscript-application-checklist.md" TargetMode="External" /><Relationship Type="http://schemas.openxmlformats.org/officeDocument/2006/relationships/hyperlink" Id="rId10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2026-04-17T15:39:16Z</dcterms:created>
  <dcterms:modified xsi:type="dcterms:W3CDTF">2026-04-17T15:39:16Z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