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2.4 |</w:t>
      </w:r>
      <w:r>
        <w:t xml:space="preserve"> </w:t>
      </w:r>
      <w:r>
        <w:rPr>
          <w:b/>
          <w:bCs/>
        </w:rPr>
        <w:t xml:space="preserve">Date:</w:t>
      </w:r>
      <w:r>
        <w:t xml:space="preserve"> </w:t>
      </w:r>
      <w:r>
        <w:t xml:space="preserve">April 23,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v2.4 (2026-04-23):</w:t>
      </w:r>
      <w:r>
        <w:t xml:space="preserve"> </w:t>
      </w:r>
      <w:r>
        <w:t xml:space="preserve">This walkthrough is now a</w:t>
      </w:r>
      <w:r>
        <w:t xml:space="preserve"> </w:t>
      </w:r>
      <w:r>
        <w:rPr>
          <w:b/>
          <w:bCs/>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
          <w:iCs/>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12"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“10 minutes before the demo.”</w:t>
      </w:r>
    </w:p>
    <w:p>
      <w:pPr>
        <w:pStyle w:val="Compact"/>
        <w:numPr>
          <w:ilvl w:val="0"/>
          <w:numId w:val="1001"/>
        </w:numPr>
      </w:pPr>
      <w:r>
        <w:rPr>
          <w:b/>
          <w:bCs/>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
          <w:bCs/>
        </w:rPr>
        <w:t xml:space="preserve">Authenticator Setup</w:t>
      </w:r>
      <w:r>
        <w:t xml:space="preserve"> </w:t>
      </w:r>
      <w:r>
        <w:t xml:space="preserve">subsection below for the exact secret values.</w:t>
      </w:r>
    </w:p>
    <w:p>
      <w:pPr>
        <w:pStyle w:val="Compact"/>
        <w:numPr>
          <w:ilvl w:val="0"/>
          <w:numId w:val="1001"/>
        </w:numPr>
      </w:pPr>
      <w:r>
        <w:rPr>
          <w:b/>
          <w:bCs/>
        </w:rPr>
        <w:t xml:space="preserve">Open browser tabs.</w:t>
      </w:r>
      <w:r>
        <w:t xml:space="preserve"> </w:t>
      </w:r>
      <w:r>
        <w:t xml:space="preserve">Prepare 3 tabs so you can switch roles quickly during the demo — one for the clinic app, one for the ops dashboard, one for the patient checkout link.</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
          <w:bCs/>
        </w:rPr>
        <w:t xml:space="preserve">Optional:</w:t>
      </w:r>
      <w:r>
        <w:t xml:space="preserve"> </w:t>
      </w:r>
      <w:r>
        <w:t xml:space="preserve">a phone in your other hand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bookmarkEnd w:id="10"/>
    <w:bookmarkStart w:id="11" w:name="X9fa60c864875913e233dc85434ff9457c646f23"/>
    <w:p>
      <w:pPr>
        <w:pStyle w:val="Heading3"/>
      </w:pPr>
      <w:r>
        <w:t xml:space="preserve">POC Seed Data (reference — what the app is pre-configured with)</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Pharmacies</w:t>
            </w:r>
          </w:p>
        </w:tc>
        <w:tc>
          <w:tcPr/>
          <w:p>
            <w:pPr>
              <w:pStyle w:val="Compact"/>
            </w:pPr>
            <w:r>
              <w:t xml:space="preserve">5 configured across all 4 tiers — Strive (Tier 4 Fax), Quick Rx + Express Digital Rx (Tier 1 API), Portal Plus (Tier 2 Portal), Hybrid Labs (Tier 3 Hybrid)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2"/>
        </w:numPr>
      </w:pPr>
      <w:r>
        <w:t xml:space="preserve">Navigate to</w:t>
      </w:r>
      <w:r>
        <w:t xml:space="preserve"> </w:t>
      </w:r>
      <w:r>
        <w:rPr>
          <w:rStyle w:val="VerbatimChar"/>
        </w:rPr>
        <w:t xml:space="preserve">https://functional-medicine-infrastructure.vercel.app/login</w:t>
      </w:r>
    </w:p>
    <w:p>
      <w:pPr>
        <w:pStyle w:val="Compact"/>
        <w:numPr>
          <w:ilvl w:val="0"/>
          <w:numId w:val="1002"/>
        </w:numPr>
      </w:pPr>
      <w:r>
        <w:rPr>
          <w:b/>
          <w:bCs/>
        </w:rPr>
        <w:t xml:space="preserve">Point out:</w:t>
      </w:r>
    </w:p>
    <w:p>
      <w:pPr>
        <w:pStyle w:val="Compact"/>
        <w:numPr>
          <w:ilvl w:val="1"/>
          <w:numId w:val="1003"/>
        </w:numPr>
      </w:pPr>
      <w:r>
        <w:t xml:space="preserve">Dark gradient background with CompoundIQ branding</w:t>
      </w:r>
    </w:p>
    <w:p>
      <w:pPr>
        <w:pStyle w:val="Compact"/>
        <w:numPr>
          <w:ilvl w:val="1"/>
          <w:numId w:val="1003"/>
        </w:numPr>
      </w:pPr>
      <w:r>
        <w:t xml:space="preserve">Clean, modern design (Geist font, Tailwind CSS design system)</w:t>
      </w:r>
    </w:p>
    <w:p>
      <w:pPr>
        <w:pStyle w:val="Compact"/>
        <w:numPr>
          <w:ilvl w:val="1"/>
          <w:numId w:val="1003"/>
        </w:numPr>
      </w:pPr>
      <w:r>
        <w:t xml:space="preserve">HIPAA badge indicating healthcare-grade security</w:t>
      </w:r>
    </w:p>
    <w:p>
      <w:pPr>
        <w:pStyle w:val="Compact"/>
        <w:numPr>
          <w:ilvl w:val="1"/>
          <w:numId w:val="1003"/>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4"/>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4"/>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5"/>
        </w:numPr>
      </w:pPr>
      <w:r>
        <w:t xml:space="preserve">Sign out</w:t>
      </w:r>
    </w:p>
    <w:p>
      <w:pPr>
        <w:pStyle w:val="Compact"/>
        <w:numPr>
          <w:ilvl w:val="0"/>
          <w:numId w:val="100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6"/>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6"/>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7"/>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08"/>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8"/>
        </w:numPr>
      </w:pPr>
      <w:r>
        <w:rPr>
          <w:b/>
          <w:bCs/>
        </w:rPr>
        <w:t xml:space="preserve">Point out the dashboard:</w:t>
      </w:r>
    </w:p>
    <w:p>
      <w:pPr>
        <w:pStyle w:val="Compact"/>
        <w:numPr>
          <w:ilvl w:val="1"/>
          <w:numId w:val="1009"/>
        </w:numPr>
      </w:pPr>
      <w:r>
        <w:t xml:space="preserve">KPI cards at top (Total Orders, Revenue, Pending Payment, Completed)</w:t>
      </w:r>
    </w:p>
    <w:p>
      <w:pPr>
        <w:pStyle w:val="Compact"/>
        <w:numPr>
          <w:ilvl w:val="1"/>
          <w:numId w:val="1009"/>
        </w:numPr>
      </w:pPr>
      <w:r>
        <w:t xml:space="preserve">Order table with status badges (colored pills showing order state)</w:t>
      </w:r>
    </w:p>
    <w:p>
      <w:pPr>
        <w:pStyle w:val="Compact"/>
        <w:numPr>
          <w:ilvl w:val="1"/>
          <w:numId w:val="1009"/>
        </w:numPr>
      </w:pPr>
      <w:r>
        <w:t xml:space="preserve">Table/Kanban toggle in the top right</w:t>
      </w:r>
    </w:p>
    <w:p>
      <w:pPr>
        <w:pStyle w:val="Compact"/>
        <w:numPr>
          <w:ilvl w:val="0"/>
          <w:numId w:val="1008"/>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0"/>
        </w:numPr>
      </w:pPr>
      <w:r>
        <w:rPr>
          <w:b/>
          <w:bCs/>
        </w:rPr>
        <w:t xml:space="preserve">Point out the sidebar:</w:t>
      </w:r>
    </w:p>
    <w:p>
      <w:pPr>
        <w:pStyle w:val="Compact"/>
        <w:numPr>
          <w:ilvl w:val="1"/>
          <w:numId w:val="1011"/>
        </w:numPr>
      </w:pPr>
      <w:r>
        <w:t xml:space="preserve">Navigation icons for Dashboard / New Prescription / Settings</w:t>
      </w:r>
    </w:p>
    <w:p>
      <w:pPr>
        <w:pStyle w:val="Compact"/>
        <w:numPr>
          <w:ilvl w:val="1"/>
          <w:numId w:val="1011"/>
        </w:numPr>
      </w:pPr>
      <w:r>
        <w:t xml:space="preserve">Active page highlighted</w:t>
      </w:r>
    </w:p>
    <w:p>
      <w:pPr>
        <w:pStyle w:val="Compact"/>
        <w:numPr>
          <w:ilvl w:val="1"/>
          <w:numId w:val="1011"/>
        </w:numPr>
      </w:pPr>
      <w:r>
        <w:t xml:space="preserve">Sign-out control at the bottom</w:t>
      </w:r>
    </w:p>
    <w:p>
      <w:pPr>
        <w:pStyle w:val="BlockText"/>
      </w:pPr>
      <w:r>
        <w:t xml:space="preserve">“The sidebar gives quick access to the core clinic flows.”</w:t>
      </w:r>
    </w:p>
    <w:bookmarkEnd w:id="17"/>
    <w:bookmarkStart w:id="18" w:name="X4da94081b50c640a1e576428d4a30f3f544fe5a"/>
    <w:p>
      <w:pPr>
        <w:pStyle w:val="Heading3"/>
      </w:pPr>
      <w:r>
        <w:t xml:space="preserve">3B — Patient &amp; Provider Selection (New in Phase 15)</w:t>
      </w:r>
    </w:p>
    <w:p>
      <w:pPr>
        <w:pStyle w:val="Compact"/>
        <w:numPr>
          <w:ilvl w:val="0"/>
          <w:numId w:val="1012"/>
        </w:numPr>
      </w:pPr>
      <w:r>
        <w:t xml:space="preserve">Click</w:t>
      </w:r>
      <w:r>
        <w:t xml:space="preserve"> </w:t>
      </w:r>
      <w:r>
        <w:rPr>
          <w:b/>
          <w:bCs/>
        </w:rPr>
        <w:t xml:space="preserve">“+ New Prescription”</w:t>
      </w:r>
      <w:r>
        <w:t xml:space="preserve"> </w:t>
      </w:r>
      <w:r>
        <w:t xml:space="preserve">button</w:t>
      </w:r>
    </w:p>
    <w:p>
      <w:pPr>
        <w:pStyle w:val="Compact"/>
        <w:numPr>
          <w:ilvl w:val="0"/>
          <w:numId w:val="1012"/>
        </w:numPr>
      </w:pPr>
      <w:r>
        <w:rPr>
          <w:b/>
          <w:bCs/>
        </w:rPr>
        <w:t xml:space="preserve">Point out the patient/provider selector page:</w:t>
      </w:r>
    </w:p>
    <w:p>
      <w:pPr>
        <w:pStyle w:val="Compact"/>
        <w:numPr>
          <w:ilvl w:val="1"/>
          <w:numId w:val="1013"/>
        </w:numPr>
      </w:pPr>
      <w:r>
        <w:t xml:space="preserve">Patient search with name filter</w:t>
      </w:r>
    </w:p>
    <w:p>
      <w:pPr>
        <w:pStyle w:val="Compact"/>
        <w:numPr>
          <w:ilvl w:val="1"/>
          <w:numId w:val="1013"/>
        </w:numPr>
      </w:pPr>
      <w:r>
        <w:t xml:space="preserve">Provider auto-selected (only one provider in this clinic)</w:t>
      </w:r>
    </w:p>
    <w:p>
      <w:pPr>
        <w:pStyle w:val="Compact"/>
        <w:numPr>
          <w:ilvl w:val="1"/>
          <w:numId w:val="1013"/>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4"/>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4"/>
        </w:numPr>
      </w:pPr>
      <w:r>
        <w:t xml:space="preserve">Note the provider</w:t>
      </w:r>
      <w:r>
        <w:t xml:space="preserve"> </w:t>
      </w:r>
      <w:r>
        <w:rPr>
          <w:b/>
          <w:bCs/>
        </w:rPr>
        <w:t xml:space="preserve">Sarah Chen</w:t>
      </w:r>
      <w:r>
        <w:t xml:space="preserve"> </w:t>
      </w:r>
      <w:r>
        <w:t xml:space="preserve">is auto-selected</w:t>
      </w:r>
    </w:p>
    <w:p>
      <w:pPr>
        <w:pStyle w:val="Compact"/>
        <w:numPr>
          <w:ilvl w:val="0"/>
          <w:numId w:val="1014"/>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5"/>
        </w:numPr>
      </w:pPr>
      <w:r>
        <w:rPr>
          <w:b/>
          <w:bCs/>
        </w:rPr>
        <w:t xml:space="preserve">Point out the session banner</w:t>
      </w:r>
      <w:r>
        <w:t xml:space="preserve"> </w:t>
      </w:r>
      <w:r>
        <w:t xml:space="preserve">at the top — Alex Demo + Sarah Chen pinned</w:t>
      </w:r>
    </w:p>
    <w:p>
      <w:pPr>
        <w:pStyle w:val="Compact"/>
        <w:numPr>
          <w:ilvl w:val="0"/>
          <w:numId w:val="1015"/>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5"/>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6"/>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6"/>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6"/>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7"/>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7"/>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7"/>
        </w:numPr>
      </w:pPr>
      <w:r>
        <w:t xml:space="preserve">Select the formulation →</w:t>
      </w:r>
      <w:r>
        <w:t xml:space="preserve"> </w:t>
      </w:r>
      <w:r>
        <w:rPr>
          <w:b/>
          <w:bCs/>
        </w:rPr>
        <w:t xml:space="preserve">Point out the Structured Sig Builder</w:t>
      </w:r>
      <w:r>
        <w:t xml:space="preserve">:</w:t>
      </w:r>
    </w:p>
    <w:p>
      <w:pPr>
        <w:pStyle w:val="Compact"/>
        <w:numPr>
          <w:ilvl w:val="1"/>
          <w:numId w:val="1018"/>
        </w:numPr>
      </w:pPr>
      <w:r>
        <w:t xml:space="preserve">Dose amount + unit + frequency dropdowns</w:t>
      </w:r>
    </w:p>
    <w:p>
      <w:pPr>
        <w:pStyle w:val="Compact"/>
        <w:numPr>
          <w:ilvl w:val="1"/>
          <w:numId w:val="1018"/>
        </w:numPr>
      </w:pPr>
      <w:r>
        <w:t xml:space="preserve">Timing dropdown (In the morning, At bedtime, etc.)</w:t>
      </w:r>
    </w:p>
    <w:p>
      <w:pPr>
        <w:pStyle w:val="Compact"/>
        <w:numPr>
          <w:ilvl w:val="1"/>
          <w:numId w:val="1018"/>
        </w:numPr>
      </w:pPr>
      <w:r>
        <w:t xml:space="preserve">Duration dropdown (For 30 days, Ongoing, etc.)</w:t>
      </w:r>
    </w:p>
    <w:p>
      <w:pPr>
        <w:pStyle w:val="Compact"/>
        <w:numPr>
          <w:ilvl w:val="1"/>
          <w:numId w:val="1018"/>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7"/>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7"/>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19"/>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0"/>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0"/>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1"/>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2"/>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2"/>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3"/>
        </w:numPr>
      </w:pPr>
      <w:r>
        <w:rPr>
          <w:b/>
          <w:bCs/>
        </w:rPr>
        <w:t xml:space="preserve">Point out the three action buttons:</w:t>
      </w:r>
    </w:p>
    <w:p>
      <w:pPr>
        <w:pStyle w:val="Compact"/>
        <w:numPr>
          <w:ilvl w:val="1"/>
          <w:numId w:val="1024"/>
        </w:numPr>
      </w:pPr>
      <w:r>
        <w:rPr>
          <w:b/>
          <w:bCs/>
        </w:rPr>
        <w:t xml:space="preserve">“Add &amp; Search Another”</w:t>
      </w:r>
      <w:r>
        <w:t xml:space="preserve"> </w:t>
      </w:r>
      <w:r>
        <w:t xml:space="preserve">— add this prescription and search for another medication</w:t>
      </w:r>
    </w:p>
    <w:p>
      <w:pPr>
        <w:pStyle w:val="Compact"/>
        <w:numPr>
          <w:ilvl w:val="1"/>
          <w:numId w:val="1024"/>
        </w:numPr>
      </w:pPr>
      <w:r>
        <w:rPr>
          <w:b/>
          <w:bCs/>
        </w:rPr>
        <w:t xml:space="preserve">“Review &amp; Send”</w:t>
      </w:r>
      <w:r>
        <w:t xml:space="preserve"> </w:t>
      </w:r>
      <w:r>
        <w:t xml:space="preserve">— go to batch review with all prescriptions</w:t>
      </w:r>
    </w:p>
    <w:p>
      <w:pPr>
        <w:pStyle w:val="Compact"/>
        <w:numPr>
          <w:ilvl w:val="1"/>
          <w:numId w:val="1024"/>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5"/>
        </w:numPr>
      </w:pPr>
      <w:r>
        <w:t xml:space="preserve">Click</w:t>
      </w:r>
      <w:r>
        <w:t xml:space="preserve"> </w:t>
      </w:r>
      <w:r>
        <w:rPr>
          <w:b/>
          <w:bCs/>
        </w:rPr>
        <w:t xml:space="preserve">“Add &amp; Search Another”</w:t>
      </w:r>
    </w:p>
    <w:p>
      <w:pPr>
        <w:numPr>
          <w:ilvl w:val="0"/>
          <w:numId w:val="1025"/>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5"/>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5"/>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5"/>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6"/>
        </w:numPr>
      </w:pPr>
      <w:r>
        <w:rPr>
          <w:b/>
          <w:bCs/>
        </w:rPr>
        <w:t xml:space="preserve">Point out the batch review page:</w:t>
      </w:r>
    </w:p>
    <w:p>
      <w:pPr>
        <w:pStyle w:val="Compact"/>
        <w:numPr>
          <w:ilvl w:val="1"/>
          <w:numId w:val="1027"/>
        </w:numPr>
      </w:pPr>
      <w:r>
        <w:rPr>
          <w:b/>
          <w:bCs/>
        </w:rPr>
        <w:t xml:space="preserve">Controlled Substance banner</w:t>
      </w:r>
      <w:r>
        <w:t xml:space="preserve"> </w:t>
      </w:r>
      <w:r>
        <w:t xml:space="preserve">at the top when any prescription in the session is DEA-scheduled (appears because Testosterone is Schedule 3)</w:t>
      </w:r>
    </w:p>
    <w:p>
      <w:pPr>
        <w:pStyle w:val="Compact"/>
        <w:numPr>
          <w:ilvl w:val="1"/>
          <w:numId w:val="1027"/>
        </w:numPr>
      </w:pPr>
      <w:r>
        <w:rPr>
          <w:b/>
          <w:bCs/>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pStyle w:val="Compact"/>
        <w:numPr>
          <w:ilvl w:val="1"/>
          <w:numId w:val="1027"/>
        </w:numPr>
      </w:pPr>
      <w:r>
        <w:t xml:space="preserve">Session banner showing the prescription count</w:t>
      </w:r>
    </w:p>
    <w:p>
      <w:pPr>
        <w:pStyle w:val="Compact"/>
        <w:numPr>
          <w:ilvl w:val="1"/>
          <w:numId w:val="1027"/>
        </w:numPr>
      </w:pPr>
      <w:r>
        <w:t xml:space="preserve">One prescription card per medication with pharmacy, pricing, and sig</w:t>
      </w:r>
    </w:p>
    <w:p>
      <w:pPr>
        <w:pStyle w:val="Compact"/>
        <w:numPr>
          <w:ilvl w:val="1"/>
          <w:numId w:val="1027"/>
        </w:numPr>
      </w:pPr>
      <w:r>
        <w:t xml:space="preserve">Combined totals (total retail, platform fee, total clinic payout)</w:t>
      </w:r>
    </w:p>
    <w:p>
      <w:pPr>
        <w:pStyle w:val="Compact"/>
        <w:numPr>
          <w:ilvl w:val="1"/>
          <w:numId w:val="1027"/>
        </w:numPr>
      </w:pPr>
      <w:r>
        <w:t xml:space="preserve">“Remove”</w:t>
      </w:r>
      <w:r>
        <w:t xml:space="preserve"> </w:t>
      </w:r>
      <w:r>
        <w:t xml:space="preserve">link on each card</w:t>
      </w:r>
    </w:p>
    <w:p>
      <w:pPr>
        <w:pStyle w:val="Compact"/>
        <w:numPr>
          <w:ilvl w:val="1"/>
          <w:numId w:val="1027"/>
        </w:numPr>
      </w:pPr>
      <w:r>
        <w:t xml:space="preserve">“+ Add Another Prescription”</w:t>
      </w:r>
      <w:r>
        <w:t xml:space="preserve"> </w:t>
      </w:r>
      <w:r>
        <w:t xml:space="preserve">button</w:t>
      </w:r>
    </w:p>
    <w:p>
      <w:pPr>
        <w:pStyle w:val="Compact"/>
        <w:numPr>
          <w:ilvl w:val="1"/>
          <w:numId w:val="1027"/>
        </w:numPr>
      </w:pPr>
      <w:r>
        <w:t xml:space="preserve">Single provider signature pad</w:t>
      </w:r>
    </w:p>
    <w:p>
      <w:pPr>
        <w:pStyle w:val="BlockText"/>
      </w:pP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p>
    <w:p>
      <w:pPr>
        <w:pStyle w:val="Compact"/>
        <w:numPr>
          <w:ilvl w:val="0"/>
          <w:numId w:val="1028"/>
        </w:numPr>
      </w:pPr>
      <w:r>
        <w:rPr>
          <w:b/>
          <w:bCs/>
        </w:rPr>
        <w:t xml:space="preserve">Sign</w:t>
      </w:r>
      <w:r>
        <w:t xml:space="preserve"> </w:t>
      </w:r>
      <w:r>
        <w:t xml:space="preserve">on the signature pad</w:t>
      </w:r>
    </w:p>
    <w:p>
      <w:pPr>
        <w:pStyle w:val="Compact"/>
        <w:numPr>
          <w:ilvl w:val="0"/>
          <w:numId w:val="1028"/>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 (The EPCS 2FA modal surfaces here because Testosterone is Schedule 3 — enter the 6-digit code from your authenticator app.)</w:t>
      </w:r>
    </w:p>
    <w:p>
      <w:pPr>
        <w:pStyle w:val="Compact"/>
        <w:numPr>
          <w:ilvl w:val="0"/>
          <w:numId w:val="1028"/>
        </w:numPr>
      </w:pPr>
      <w:r>
        <w:t xml:space="preserve">Navigate back to the dashboard to see the resulting orders — both should appear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“Sign &amp; Send All Prescriptions”</w:t>
      </w:r>
      <w:r>
        <w:t xml:space="preserve"> </w:t>
      </w:r>
      <w:r>
        <w:t xml:space="preserve">→</w:t>
      </w:r>
      <w:r>
        <w:t xml:space="preserve"> </w:t>
      </w:r>
      <w:r>
        <w:t xml:space="preserve">“Confirm &amp; Send”</w:t>
      </w:r>
      <w:r>
        <w:t xml:space="preserve"> </w:t>
      </w:r>
      <w:r>
        <w:t xml:space="preserve">will surface the modal with the red</w:t>
      </w:r>
      <w:r>
        <w:t xml:space="preserve"> </w:t>
      </w:r>
      <w:r>
        <w:t xml:space="preserve">“EPCS Two-Factor Authentication Required”</w:t>
      </w:r>
      <w:r>
        <w:t xml:space="preserve"> </w:t>
      </w:r>
      <w:r>
        <w:t xml:space="preserve">header, a Schedule badge, and</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(the one you loaded via the Authenticator Setup subsection before demo day) and enter it.</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29"/>
        </w:numPr>
      </w:pPr>
      <w:r>
        <w:t xml:space="preserve">Click</w:t>
      </w:r>
      <w:r>
        <w:t xml:space="preserve"> </w:t>
      </w:r>
      <w:r>
        <w:rPr>
          <w:b/>
          <w:bCs/>
        </w:rPr>
        <w:t xml:space="preserve">“+ New Prescription”</w:t>
      </w:r>
      <w:r>
        <w:t xml:space="preserve"> </w:t>
      </w:r>
      <w:r>
        <w:t xml:space="preserve">again</w:t>
      </w:r>
    </w:p>
    <w:p>
      <w:pPr>
        <w:pStyle w:val="Compact"/>
        <w:numPr>
          <w:ilvl w:val="0"/>
          <w:numId w:val="1029"/>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29"/>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29"/>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29"/>
        </w:numPr>
      </w:pPr>
      <w:r>
        <w:t xml:space="preserve">Click</w:t>
      </w:r>
      <w:r>
        <w:t xml:space="preserve"> </w:t>
      </w:r>
      <w:r>
        <w:rPr>
          <w:b/>
          <w:bCs/>
        </w:rPr>
        <w:t xml:space="preserve">“Save as Draft — Provider Signs Later”</w:t>
      </w:r>
    </w:p>
    <w:p>
      <w:pPr>
        <w:pStyle w:val="Compact"/>
        <w:numPr>
          <w:ilvl w:val="0"/>
          <w:numId w:val="1029"/>
        </w:numPr>
      </w:pPr>
      <w:r>
        <w:t xml:space="preserve">Navigate back to the dashboard — the new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0"/>
        </w:numPr>
      </w:pPr>
      <w:r>
        <w:rPr>
          <w:b/>
          <w:bCs/>
        </w:rPr>
        <w:t xml:space="preserve">Sign out</w:t>
      </w:r>
      <w:r>
        <w:t xml:space="preserve"> </w:t>
      </w:r>
      <w:r>
        <w:t xml:space="preserve">of clinic admin</w:t>
      </w:r>
    </w:p>
    <w:p>
      <w:pPr>
        <w:pStyle w:val="Compact"/>
        <w:numPr>
          <w:ilvl w:val="0"/>
          <w:numId w:val="1030"/>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0"/>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1"/>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1"/>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1"/>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2"/>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3"/>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4"/>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4"/>
        </w:numPr>
      </w:pPr>
      <w:r>
        <w:t xml:space="preserve">Click the emerald</w:t>
      </w:r>
      <w:r>
        <w:t xml:space="preserve"> </w:t>
      </w:r>
      <w:r>
        <w:rPr>
          <w:b/>
          <w:bCs/>
        </w:rPr>
        <w:t xml:space="preserve">“Copy Payment Link”</w:t>
      </w:r>
      <w:r>
        <w:t xml:space="preserve"> </w:t>
      </w:r>
      <w:r>
        <w:t xml:space="preserve">button — the checkout URL is now on your clipboard</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5"/>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rPr>
          <w:b/>
          <w:bCs/>
        </w:rPr>
        <w:t xml:space="preserve">Email field</w:t>
      </w:r>
      <w:r>
        <w:t xml:space="preserve"> </w:t>
      </w:r>
      <w:r>
        <w:t xml:space="preserve">(</w:t>
      </w:r>
      <w:r>
        <w:t xml:space="preserve">“Email for receipt”</w:t>
      </w:r>
      <w:r>
        <w:t xml:space="preserve">) — required, above the Stripe payment form. Stripe auto-emails a branded receipt to this address when the charge succeeds.</w:t>
      </w:r>
    </w:p>
    <w:p>
      <w:pPr>
        <w:pStyle w:val="Compact"/>
        <w:numPr>
          <w:ilvl w:val="1"/>
          <w:numId w:val="1036"/>
        </w:numPr>
      </w:pPr>
      <w:r>
        <w:t xml:space="preserve">Stripe Elements payment form below (card + whichever wallet options the patient’s device supports — e.g., Apple Pay in Safari on iOS, Google Pay in Chrome on Android, Cash App Pay, Bank, Affirm, Amazon Pay)</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38"/>
        </w:numPr>
      </w:pPr>
      <w:r>
        <w:t xml:space="preserve">Enter email in the</w:t>
      </w:r>
      <w:r>
        <w:t xml:space="preserve"> </w:t>
      </w:r>
      <w:r>
        <w:rPr>
          <w:b/>
          <w:bCs/>
        </w:rPr>
        <w:t xml:space="preserve">“Email for receipt”</w:t>
      </w:r>
      <w:r>
        <w:t xml:space="preserve"> </w:t>
      </w:r>
      <w:r>
        <w:t xml:space="preserve">field:</w:t>
      </w:r>
      <w:r>
        <w:t xml:space="preserve"> </w:t>
      </w:r>
      <w:r>
        <w:rPr>
          <w:rStyle w:val="VerbatimChar"/>
        </w:rPr>
        <w:t xml:space="preserve">test@example.com</w:t>
      </w:r>
      <w:r>
        <w:t xml:space="preserve"> </w:t>
      </w:r>
      <w:r>
        <w:t xml:space="preserve">(Stripe will email the branded receipt here)</w:t>
      </w:r>
    </w:p>
    <w:p>
      <w:pPr>
        <w:pStyle w:val="Compact"/>
        <w:numPr>
          <w:ilvl w:val="0"/>
          <w:numId w:val="1038"/>
        </w:numPr>
      </w:pPr>
      <w:r>
        <w:t xml:space="preserve">Enter Stripe test card in the Stripe Elements form below:</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7"/>
    <w:bookmarkStart w:id="28"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6"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top nav</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top nav</w:t>
      </w:r>
    </w:p>
    <w:p>
      <w:pPr>
        <w:pStyle w:val="Compact"/>
        <w:numPr>
          <w:ilvl w:val="0"/>
          <w:numId w:val="1054"/>
        </w:numPr>
      </w:pPr>
      <w:r>
        <w:rPr>
          <w:b/>
          <w:bCs/>
        </w:rPr>
        <w:t xml:space="preserve">Point out what the page is:</w:t>
      </w:r>
      <w:r>
        <w:t xml:space="preserve"> </w:t>
      </w:r>
      <w:r>
        <w:t xml:space="preserve">a card for every configured pharmacy across all 4 integration tiers (Tier 1 API, Tier 2 Portal, Tier 3 Hybrid, Tier 4 Fax). Each card shows:</w:t>
      </w:r>
    </w:p>
    <w:p>
      <w:pPr>
        <w:pStyle w:val="Compact"/>
        <w:numPr>
          <w:ilvl w:val="1"/>
          <w:numId w:val="1055"/>
        </w:numPr>
      </w:pPr>
      <w:r>
        <w:t xml:space="preserve">A traffic-light health indicator (green / yellow / red for Degraded or Critical / slate for Idle)</w:t>
      </w:r>
    </w:p>
    <w:p>
      <w:pPr>
        <w:pStyle w:val="Compact"/>
        <w:numPr>
          <w:ilvl w:val="1"/>
          <w:numId w:val="1055"/>
        </w:numPr>
      </w:pPr>
      <w:r>
        <w:t xml:space="preserve">Circuit breaker state as a plain-English chip:</w:t>
      </w:r>
      <w:r>
        <w:t xml:space="preserve"> </w:t>
      </w:r>
      <w:r>
        <w:rPr>
          <w:b/>
          <w:bCs/>
        </w:rPr>
        <w:t xml:space="preserve">Online</w:t>
      </w:r>
      <w:r>
        <w:t xml:space="preserve"> </w:t>
      </w:r>
      <w:r>
        <w:t xml:space="preserve">(green) /</w:t>
      </w:r>
      <w:r>
        <w:t xml:space="preserve"> </w:t>
      </w:r>
      <w:r>
        <w:rPr>
          <w:b/>
          <w:bCs/>
        </w:rPr>
        <w:t xml:space="preserve">Degraded</w:t>
      </w:r>
      <w:r>
        <w:t xml:space="preserve"> </w:t>
      </w:r>
      <w:r>
        <w:t xml:space="preserve">(amber) /</w:t>
      </w:r>
      <w:r>
        <w:t xml:space="preserve"> </w:t>
      </w:r>
      <w:r>
        <w:rPr>
          <w:b/>
          <w:bCs/>
        </w:rPr>
        <w:t xml:space="preserve">Offline</w:t>
      </w:r>
      <w:r>
        <w:t xml:space="preserve"> </w:t>
      </w:r>
      <w:r>
        <w:t xml:space="preserve">(red bold). Chip is only shown when the pharmacy has circuit-breaker telemetry — a freshly-configured adapter with no traffic yet omits the chip entirely.</w:t>
      </w:r>
    </w:p>
    <w:p>
      <w:pPr>
        <w:pStyle w:val="Compact"/>
        <w:numPr>
          <w:ilvl w:val="1"/>
          <w:numId w:val="1055"/>
        </w:numPr>
      </w:pPr>
      <w:r>
        <w:t xml:space="preserve">24-hour submission success rate + total submission count + failure count</w:t>
      </w:r>
    </w:p>
    <w:p>
      <w:pPr>
        <w:pStyle w:val="Compact"/>
        <w:numPr>
          <w:ilvl w:val="1"/>
          <w:numId w:val="1055"/>
        </w:numPr>
      </w:pPr>
      <w:r>
        <w:t xml:space="preserve">p50 / p95 / p99 latency percentiles</w:t>
      </w:r>
    </w:p>
    <w:p>
      <w:pPr>
        <w:pStyle w:val="Compact"/>
        <w:numPr>
          <w:ilvl w:val="1"/>
          <w:numId w:val="1055"/>
        </w:numPr>
      </w:pPr>
      <w:r>
        <w:t xml:space="preserve">A 24-hour submissions bar chart (green bars for successes, pink for failures)</w:t>
      </w:r>
    </w:p>
    <w:p>
      <w:pPr>
        <w:pStyle w:val="Compact"/>
        <w:numPr>
          <w:ilvl w:val="1"/>
          <w:numId w:val="1055"/>
        </w:numPr>
      </w:pPr>
      <w:r>
        <w:t xml:space="preserve">“Last success”</w:t>
      </w:r>
      <w:r>
        <w:t xml:space="preserve"> </w:t>
      </w:r>
      <w:r>
        <w:t xml:space="preserve">relative timestamp</w:t>
      </w:r>
    </w:p>
    <w:p>
      <w:pPr>
        <w:pStyle w:val="Compact"/>
        <w:numPr>
          <w:ilvl w:val="1"/>
          <w:numId w:val="1055"/>
        </w:numPr>
      </w:pPr>
      <w:r>
        <w:t xml:space="preserve">Quick-action buttons (Disable Adapter, Force Tier 4)</w:t>
      </w:r>
    </w:p>
    <w:p>
      <w:pPr>
        <w:pStyle w:val="BlockText"/>
      </w:pP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
          <w:bCs/>
        </w:rPr>
        <w:t xml:space="preserve">Idle</w:t>
      </w:r>
      <w:r>
        <w:t xml:space="preserve"> </w:t>
      </w:r>
      <w:r>
        <w:t xml:space="preserve">— neutral slate — instead of falsely flashing Critical. What you see on the grid right now reflects today’s real submission activity.”</w:t>
      </w:r>
    </w:p>
    <w:p>
      <w:pPr>
        <w:pStyle w:val="BlockText"/>
      </w:pPr>
      <w:r>
        <w:rPr>
          <w:b/>
          <w:bCs/>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33"/>
    <w:bookmarkStart w:id="34"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 Queue”</w:t>
      </w:r>
      <w:r>
        <w:t xml:space="preserve"> </w:t>
      </w:r>
      <w:r>
        <w:t xml:space="preserve">in the top nav</w:t>
      </w:r>
    </w:p>
    <w:p>
      <w:pPr>
        <w:pStyle w:val="Compact"/>
        <w:numPr>
          <w:ilvl w:val="0"/>
          <w:numId w:val="1056"/>
        </w:numPr>
      </w:pPr>
      <w:r>
        <w:rPr>
          <w:b/>
          <w:bCs/>
        </w:rPr>
        <w:t xml:space="preserve">Point out what the page is:</w:t>
      </w:r>
    </w:p>
    <w:p>
      <w:pPr>
        <w:pStyle w:val="Compact"/>
        <w:numPr>
          <w:ilvl w:val="1"/>
          <w:numId w:val="1057"/>
        </w:numPr>
      </w:pPr>
      <w:r>
        <w:t xml:space="preserve">Status filter pills across the top (All, Received, Matched, Unmatched, Processed, Archived)</w:t>
      </w:r>
    </w:p>
    <w:p>
      <w:pPr>
        <w:pStyle w:val="Compact"/>
        <w:numPr>
          <w:ilvl w:val="1"/>
          <w:numId w:val="1057"/>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pStyle w:val="Compact"/>
        <w:numPr>
          <w:ilvl w:val="1"/>
          <w:numId w:val="1057"/>
        </w:numPr>
      </w:pPr>
      <w:r>
        <w:t xml:space="preserve">A list of inbound fax rows — each one shows status, from-number, page count, relative received-at timestamp, matched pharmacy/order if any</w:t>
      </w:r>
    </w:p>
    <w:p>
      <w:pPr>
        <w:pStyle w:val="Compact"/>
        <w:numPr>
          <w:ilvl w:val="1"/>
          <w:numId w:val="1057"/>
        </w:numPr>
      </w:pPr>
      <w:r>
        <w:t xml:space="preserve">Click any row to open a triage detail panel on the right with the available actions</w:t>
      </w:r>
    </w:p>
    <w:p>
      <w:pPr>
        <w:pStyle w:val="BlockText"/>
      </w:pP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p>
    <w:p>
      <w:pPr>
        <w:pStyle w:val="BlockText"/>
      </w:pPr>
      <w:r>
        <w:rPr>
          <w:b/>
          <w:bCs/>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34"/>
    <w:bookmarkStart w:id="35"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sidebar</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5"/>
    <w:bookmarkEnd w:id="36"/>
    <w:bookmarkStart w:id="40" w:name="X27570dffca2ddc5ec18f24291aec74d220817ad"/>
    <w:p>
      <w:pPr>
        <w:pStyle w:val="Heading2"/>
      </w:pPr>
      <w:r>
        <w:t xml:space="preserve">Part 6: Architecture Highlights (3–5 minutes, no demo)</w:t>
      </w:r>
    </w:p>
    <w:bookmarkStart w:id="37"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7"/>
    <w:bookmarkStart w:id="38"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8"/>
    <w:bookmarkStart w:id="39"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9"/>
    <w:bookmarkEnd w:id="40"/>
    <w:bookmarkStart w:id="43" w:name="part-7-qa-wrap-up"/>
    <w:p>
      <w:pPr>
        <w:pStyle w:val="Heading2"/>
      </w:pPr>
      <w:r>
        <w:t xml:space="preserve">Part 7: Q&amp;A / Wrap-Up</w:t>
      </w:r>
    </w:p>
    <w:bookmarkStart w:id="41"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+ 87 jest unit tests. CI gates every merge.</w:t>
            </w:r>
          </w:p>
        </w:tc>
      </w:tr>
    </w:tbl>
    <w:bookmarkEnd w:id="41"/>
    <w:bookmarkStart w:id="42"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2"/>
    <w:bookmarkEnd w:id="43"/>
    <w:bookmarkStart w:id="44"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1"/>
  </w:num>
  <w:num w:numId="101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1"/>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7">
    <w:abstractNumId w:val="991"/>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3">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7">
    <w:abstractNumId w:val="991"/>
  </w:num>
  <w:num w:numId="105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2026-04-24T18:52:03Z</dcterms:created>
  <dcterms:modified xsi:type="dcterms:W3CDTF">2026-04-24T18:52:03Z</dcterms:modified>
</cp:coreProperties>
</file>

<file path=docProps/custom.xml><?xml version="1.0" encoding="utf-8"?>
<Properties xmlns="http://schemas.openxmlformats.org/officeDocument/2006/custom-properties" xmlns:vt="http://schemas.openxmlformats.org/officeDocument/2006/docPropsVTypes"/>
</file>