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e355f1178d7dd976f0e8acc09c7e47d54610f4"/>
    <w:p>
      <w:pPr>
        <w:pStyle w:val="Heading1"/>
      </w:pPr>
      <w:r>
        <w:t xml:space="preserve">Design Partner Agreement — Letter of Intent</w:t>
      </w:r>
    </w:p>
    <w:p>
      <w:pPr>
        <w:pStyle w:val="FirstParagraph"/>
      </w:pPr>
      <w:r>
        <w:rPr>
          <w:bCs/>
          <w:b/>
        </w:rPr>
        <w:t xml:space="preserve">Important disclaimer:</w:t>
      </w:r>
      <w:r>
        <w:t xml:space="preserve"> </w:t>
      </w:r>
      <w:r>
        <w:t xml:space="preserve">This template is a</w:t>
      </w:r>
      <w:r>
        <w:t xml:space="preserve"> </w:t>
      </w:r>
      <w:r>
        <w:rPr>
          <w:bCs/>
          <w:b/>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Cs/>
          <w:b/>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Cs/>
          <w:b/>
        </w:rPr>
        <w:t xml:space="preserve">Length goal:</w:t>
      </w:r>
      <w:r>
        <w:t xml:space="preserve"> </w:t>
      </w:r>
      <w:r>
        <w:t xml:space="preserve">1-2 pages. If it gets longer, you’re overcomplicating it.</w:t>
      </w:r>
    </w:p>
    <w:p>
      <w:r>
        <w:pict>
          <v:rect style="width:0;height:1.5pt" o:hralign="center" o:hrstd="t" o:hr="t"/>
        </w:pict>
      </w:r>
    </w:p>
    <w:bookmarkStart w:id="29"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Cs/>
          <w:b/>
        </w:rPr>
        <w:t xml:space="preserve">COMPOUNDIQ DESIGN PARTNER LETTER OF INTENT</w:t>
      </w:r>
    </w:p>
    <w:p>
      <w:pPr>
        <w:pStyle w:val="BodyText"/>
      </w:pPr>
      <w:r>
        <w:rPr>
          <w:bCs/>
          <w:b/>
        </w:rPr>
        <w:t xml:space="preserve">Date:</w:t>
      </w:r>
      <w:r>
        <w:t xml:space="preserve"> </w:t>
      </w:r>
      <w:r>
        <w:t xml:space="preserve">[DATE]</w:t>
      </w:r>
    </w:p>
    <w:p>
      <w:pPr>
        <w:pStyle w:val="BodyText"/>
      </w:pPr>
      <w:r>
        <w:rPr>
          <w:bCs/>
          <w:b/>
        </w:rPr>
        <w:t xml:space="preserve">Between:</w:t>
      </w:r>
    </w:p>
    <w:p>
      <w:pPr>
        <w:pStyle w:val="BodyText"/>
      </w:pPr>
      <w:r>
        <w:rPr>
          <w:bCs/>
          <w:b/>
        </w:rPr>
        <w:t xml:space="preserve">CompoundIQ Inc.</w:t>
      </w:r>
      <w:r>
        <w:t xml:space="preserve"> </w:t>
      </w:r>
      <w:r>
        <w:t xml:space="preserve">(</w:t>
      </w:r>
      <w:r>
        <w:t xml:space="preserve">“</w:t>
      </w:r>
      <w:r>
        <w:t xml:space="preserve">CompoundIQ</w:t>
      </w:r>
      <w:r>
        <w:t xml:space="preserve">”</w:t>
      </w:r>
      <w:r>
        <w:t xml:space="preserve">)</w:t>
      </w:r>
      <w:r>
        <w:t xml:space="preserve"> </w:t>
      </w:r>
      <w:r>
        <w:t xml:space="preserve">[ADDRESS]</w:t>
      </w:r>
      <w:r>
        <w:t xml:space="preserve"> </w:t>
      </w:r>
      <w:r>
        <w:t xml:space="preserve">[EMAIL]</w:t>
      </w:r>
    </w:p>
    <w:p>
      <w:pPr>
        <w:pStyle w:val="BodyText"/>
      </w:pPr>
      <w:r>
        <w:t xml:space="preserve">and</w:t>
      </w:r>
    </w:p>
    <w:p>
      <w:pPr>
        <w:pStyle w:val="BodyText"/>
      </w:pPr>
      <w:r>
        <w:rPr>
          <w:bCs/>
          <w:b/>
        </w:rPr>
        <w:t xml:space="preserve">[CLINIC LEGAL NAME]</w:t>
      </w:r>
      <w:r>
        <w:t xml:space="preserve"> </w:t>
      </w:r>
      <w:r>
        <w:t xml:space="preserve">(</w:t>
      </w:r>
      <w:r>
        <w:t xml:space="preserve">“</w:t>
      </w:r>
      <w:r>
        <w:t xml:space="preserve">Clinic</w:t>
      </w:r>
      <w:r>
        <w:t xml:space="preserve">”</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20" w:name="purpose"/>
    <w:p>
      <w:pPr>
        <w:pStyle w:val="Heading3"/>
      </w:pPr>
      <w:r>
        <w:t xml:space="preserve">1. Purpose</w:t>
      </w:r>
    </w:p>
    <w:p>
      <w:pPr>
        <w:pStyle w:val="FirstParagraph"/>
      </w:pPr>
      <w:r>
        <w:t xml:space="preserve">This Letter of Intent (</w:t>
      </w:r>
      <w:r>
        <w:t xml:space="preserve">“</w:t>
      </w:r>
      <w:r>
        <w:t xml:space="preserve">LOI</w:t>
      </w:r>
      <w:r>
        <w:t xml:space="preserve">”</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20"/>
    <w:bookmarkStart w:id="21" w:name="scope-of-the-design-partnership"/>
    <w:p>
      <w:pPr>
        <w:pStyle w:val="Heading3"/>
      </w:pPr>
      <w:r>
        <w:t xml:space="preserve">2. Scope of the Design Partnership</w:t>
      </w:r>
    </w:p>
    <w:p>
      <w:pPr>
        <w:pStyle w:val="FirstParagraph"/>
      </w:pPr>
      <w:r>
        <w:rPr>
          <w:bCs/>
          <w:b/>
        </w:rPr>
        <w:t xml:space="preserve">2.1 What CompoundIQ will provide:</w:t>
      </w:r>
    </w:p>
    <w:p>
      <w:pPr>
        <w:numPr>
          <w:ilvl w:val="0"/>
          <w:numId w:val="1001"/>
        </w:numPr>
        <w:pStyle w:val="Compact"/>
      </w:pPr>
      <w:r>
        <w:t xml:space="preserve">Full access to the CompoundIQ platform, including:</w:t>
      </w:r>
    </w:p>
    <w:p>
      <w:pPr>
        <w:numPr>
          <w:ilvl w:val="1"/>
          <w:numId w:val="1002"/>
        </w:numPr>
        <w:pStyle w:val="Compact"/>
      </w:pPr>
      <w:r>
        <w:t xml:space="preserve">Clinic Application (web app for medical assistants, providers, and clinic admins)</w:t>
      </w:r>
    </w:p>
    <w:p>
      <w:pPr>
        <w:numPr>
          <w:ilvl w:val="1"/>
          <w:numId w:val="1002"/>
        </w:numPr>
        <w:pStyle w:val="Compact"/>
      </w:pPr>
      <w:r>
        <w:t xml:space="preserve">Patient Checkout (mobile-optimized payment link delivery)</w:t>
      </w:r>
    </w:p>
    <w:p>
      <w:pPr>
        <w:numPr>
          <w:ilvl w:val="1"/>
          <w:numId w:val="1002"/>
        </w:numPr>
        <w:pStyle w:val="Compact"/>
      </w:pPr>
      <w:r>
        <w:t xml:space="preserve">Cascading Prescription Builder with structured sig generation</w:t>
      </w:r>
    </w:p>
    <w:p>
      <w:pPr>
        <w:numPr>
          <w:ilvl w:val="1"/>
          <w:numId w:val="1002"/>
        </w:numPr>
        <w:pStyle w:val="Compact"/>
      </w:pPr>
      <w:r>
        <w:t xml:space="preserve">Provider Favorites and Clinic Protocol Templates</w:t>
      </w:r>
    </w:p>
    <w:p>
      <w:pPr>
        <w:numPr>
          <w:ilvl w:val="1"/>
          <w:numId w:val="1002"/>
        </w:numPr>
        <w:pStyle w:val="Compact"/>
      </w:pPr>
      <w:r>
        <w:t xml:space="preserve">Multi-Prescription Session with single-signature batch send</w:t>
      </w:r>
    </w:p>
    <w:p>
      <w:pPr>
        <w:numPr>
          <w:ilvl w:val="1"/>
          <w:numId w:val="1002"/>
        </w:numPr>
        <w:pStyle w:val="Compact"/>
      </w:pPr>
      <w:r>
        <w:t xml:space="preserve">DEA 21 CFR 1311-compliant EPCS 2FA for controlled substances</w:t>
      </w:r>
    </w:p>
    <w:p>
      <w:pPr>
        <w:numPr>
          <w:ilvl w:val="1"/>
          <w:numId w:val="1002"/>
        </w:numPr>
        <w:pStyle w:val="Compact"/>
      </w:pPr>
      <w:r>
        <w:t xml:space="preserve">Drug Interaction Alerts with clinical guidance</w:t>
      </w:r>
    </w:p>
    <w:p>
      <w:pPr>
        <w:numPr>
          <w:ilvl w:val="0"/>
          <w:numId w:val="1001"/>
        </w:numPr>
        <w:pStyle w:val="Compact"/>
      </w:pPr>
      <w:r>
        <w:t xml:space="preserve">Integration support including Stripe Connect onboarding, user account setup for Clinic staff, and pharmacy routing configuration</w:t>
      </w:r>
    </w:p>
    <w:p>
      <w:pPr>
        <w:numPr>
          <w:ilvl w:val="0"/>
          <w:numId w:val="1001"/>
        </w:numPr>
        <w:pStyle w:val="Compact"/>
      </w:pPr>
      <w:r>
        <w:t xml:space="preserve">Priority support with direct access to CompoundIQ’s founders via Slack, email, or phone</w:t>
      </w:r>
    </w:p>
    <w:p>
      <w:pPr>
        <w:numPr>
          <w:ilvl w:val="0"/>
          <w:numId w:val="1001"/>
        </w:numPr>
        <w:pStyle w:val="Compact"/>
      </w:pPr>
      <w:r>
        <w:t xml:space="preserve">Training session (1 hour) for Clinic medical assistants, providers, and admin staff</w:t>
      </w:r>
    </w:p>
    <w:p>
      <w:pPr>
        <w:numPr>
          <w:ilvl w:val="0"/>
          <w:numId w:val="1001"/>
        </w:numPr>
        <w:pStyle w:val="Compact"/>
      </w:pPr>
      <w:r>
        <w:t xml:space="preserve">Custom feature requests evaluated on a case-by-case basis</w:t>
      </w:r>
    </w:p>
    <w:p>
      <w:pPr>
        <w:pStyle w:val="FirstParagraph"/>
      </w:pPr>
      <w:r>
        <w:rPr>
          <w:bCs/>
          <w:b/>
        </w:rPr>
        <w:t xml:space="preserve">2.2 What Clinic will provide:</w:t>
      </w:r>
    </w:p>
    <w:p>
      <w:pPr>
        <w:numPr>
          <w:ilvl w:val="0"/>
          <w:numId w:val="1003"/>
        </w:numPr>
        <w:pStyle w:val="Compact"/>
      </w:pPr>
      <w:r>
        <w:t xml:space="preserve">Good-faith effort to use CompoundIQ as the primary tool for compounded prescription workflows during the design partner period</w:t>
      </w:r>
    </w:p>
    <w:p>
      <w:pPr>
        <w:numPr>
          <w:ilvl w:val="0"/>
          <w:numId w:val="1003"/>
        </w:numPr>
        <w:pStyle w:val="Compact"/>
      </w:pPr>
      <w:r>
        <w:t xml:space="preserve">Reasonable feedback on platform usability, bugs, and feature gaps</w:t>
      </w:r>
    </w:p>
    <w:p>
      <w:pPr>
        <w:numPr>
          <w:ilvl w:val="0"/>
          <w:numId w:val="1003"/>
        </w:numPr>
        <w:pStyle w:val="Compact"/>
      </w:pPr>
      <w:r>
        <w:t xml:space="preserve">Introduction(s) to Clinic’s existing compounding pharmacy partners, if appropriate, to support catalog data acquisition</w:t>
      </w:r>
    </w:p>
    <w:p>
      <w:pPr>
        <w:numPr>
          <w:ilvl w:val="0"/>
          <w:numId w:val="1003"/>
        </w:numPr>
        <w:pStyle w:val="Compact"/>
      </w:pPr>
      <w:r>
        <w:t xml:space="preserve">Optional: participation in a written case study or testimonial after 60 days of use (Clinic has full approval rights over any public materials)</w:t>
      </w:r>
    </w:p>
    <w:p>
      <w:pPr>
        <w:pStyle w:val="FirstParagraph"/>
      </w:pPr>
      <w:r>
        <w:rPr>
          <w:bCs/>
          <w:b/>
        </w:rPr>
        <w:t xml:space="preserve">2.3 What each party keeps:</w:t>
      </w:r>
    </w:p>
    <w:p>
      <w:pPr>
        <w:numPr>
          <w:ilvl w:val="0"/>
          <w:numId w:val="1004"/>
        </w:numPr>
        <w:pStyle w:val="Compact"/>
      </w:pPr>
      <w:r>
        <w:t xml:space="preserve">Clinic retains all clinical decision-making authority. CompoundIQ provides no clinical advice and makes no prescribing recommendations.</w:t>
      </w:r>
    </w:p>
    <w:p>
      <w:pPr>
        <w:numPr>
          <w:ilvl w:val="0"/>
          <w:numId w:val="1004"/>
        </w:numPr>
        <w:pStyle w:val="Compact"/>
      </w:pPr>
      <w:r>
        <w:t xml:space="preserve">Clinic retains all existing pharmacy relationships.</w:t>
      </w:r>
    </w:p>
    <w:p>
      <w:pPr>
        <w:numPr>
          <w:ilvl w:val="0"/>
          <w:numId w:val="1004"/>
        </w:numPr>
        <w:pStyle w:val="Compact"/>
      </w:pPr>
      <w:r>
        <w:t xml:space="preserve">Clinic retains ownership of all patient data; CompoundIQ acts as a business associate subject to HIPAA.</w:t>
      </w:r>
    </w:p>
    <w:p>
      <w:pPr>
        <w:numPr>
          <w:ilvl w:val="0"/>
          <w:numId w:val="1004"/>
        </w:numPr>
        <w:pStyle w:val="Compact"/>
      </w:pPr>
      <w:r>
        <w:t xml:space="preserve">CompoundIQ retains ownership of the platform and all associated intellectual property.</w:t>
      </w:r>
    </w:p>
    <w:bookmarkEnd w:id="21"/>
    <w:bookmarkStart w:id="22"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Cs/>
          <w:b/>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Cs/>
          <w:b/>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Cs/>
          <w:b/>
        </w:rPr>
        <w:t xml:space="preserve">Direct founder access.</w:t>
      </w:r>
      <w:r>
        <w:t xml:space="preserve"> </w:t>
      </w:r>
      <w:r>
        <w:t xml:space="preserve">Clinic has a direct line to CompoundIQ’s founders for product feedback, escalations, and custom requests.</w:t>
      </w:r>
    </w:p>
    <w:p>
      <w:pPr>
        <w:numPr>
          <w:ilvl w:val="0"/>
          <w:numId w:val="1005"/>
        </w:numPr>
      </w:pPr>
      <w:r>
        <w:rPr>
          <w:bCs/>
          <w:b/>
        </w:rPr>
        <w:t xml:space="preserve">Feature co-design input.</w:t>
      </w:r>
      <w:r>
        <w:t xml:space="preserve"> </w:t>
      </w:r>
      <w:r>
        <w:t xml:space="preserve">Clinic’s feedback will be prioritized in the product roadmap during the design partner period.</w:t>
      </w:r>
    </w:p>
    <w:p>
      <w:pPr>
        <w:numPr>
          <w:ilvl w:val="0"/>
          <w:numId w:val="1005"/>
        </w:numPr>
      </w:pPr>
      <w:r>
        <w:rPr>
          <w:bCs/>
          <w:b/>
        </w:rPr>
        <w:t xml:space="preserve">Priority support.</w:t>
      </w:r>
      <w:r>
        <w:t xml:space="preserve"> </w:t>
      </w:r>
      <w:r>
        <w:t xml:space="preserve">Response time SLA: 2 business hours for critical issues, 1 business day for non-critical.</w:t>
      </w:r>
    </w:p>
    <w:p>
      <w:pPr>
        <w:numPr>
          <w:ilvl w:val="0"/>
          <w:numId w:val="1005"/>
        </w:numPr>
      </w:pPr>
      <w:r>
        <w:rPr>
          <w:bCs/>
          <w:b/>
        </w:rPr>
        <w:t xml:space="preserve">Naming opt-in.</w:t>
      </w:r>
      <w:r>
        <w:t xml:space="preserve"> </w:t>
      </w:r>
      <w:r>
        <w:t xml:space="preserve">Clinic may be referenced as a CompoundIQ design partner in marketing and investor materials only with written approval.</w:t>
      </w:r>
    </w:p>
    <w:bookmarkEnd w:id="22"/>
    <w:bookmarkStart w:id="23" w:name="term-and-termination"/>
    <w:p>
      <w:pPr>
        <w:pStyle w:val="Heading3"/>
      </w:pPr>
      <w:r>
        <w:t xml:space="preserve">4. Term and Termination</w:t>
      </w:r>
    </w:p>
    <w:p>
      <w:pPr>
        <w:pStyle w:val="FirstParagraph"/>
      </w:pPr>
      <w:r>
        <w:rPr>
          <w:bCs/>
          <w:b/>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Cs/>
          <w:b/>
        </w:rPr>
        <w:t xml:space="preserve">4.2 Termination:</w:t>
      </w:r>
      <w:r>
        <w:t xml:space="preserve"> </w:t>
      </w:r>
      <w:r>
        <w:t xml:space="preserve">Either party may terminate this LOI at any time with thirty (30) days’ written notice (email is sufficient). Upon termination:</w:t>
      </w:r>
    </w:p>
    <w:p>
      <w:pPr>
        <w:numPr>
          <w:ilvl w:val="0"/>
          <w:numId w:val="1006"/>
        </w:numPr>
        <w:pStyle w:val="Compact"/>
      </w:pPr>
      <w:r>
        <w:t xml:space="preserve">CompoundIQ will provide Clinic with an export of all Clinic data in CSV format within 10 business days</w:t>
      </w:r>
    </w:p>
    <w:p>
      <w:pPr>
        <w:numPr>
          <w:ilvl w:val="0"/>
          <w:numId w:val="1006"/>
        </w:numPr>
        <w:pStyle w:val="Compact"/>
      </w:pPr>
      <w:r>
        <w:t xml:space="preserve">Clinic will delete any CompoundIQ confidential information in its possession</w:t>
      </w:r>
    </w:p>
    <w:p>
      <w:pPr>
        <w:numPr>
          <w:ilvl w:val="0"/>
          <w:numId w:val="1006"/>
        </w:numPr>
        <w:pStyle w:val="Compact"/>
      </w:pPr>
      <w:r>
        <w:t xml:space="preserve">Neither party owes the other any fees, damages, or further obligations</w:t>
      </w:r>
    </w:p>
    <w:bookmarkEnd w:id="23"/>
    <w:bookmarkStart w:id="24"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24"/>
    <w:bookmarkStart w:id="25" w:name="hipaa-and-data-protection"/>
    <w:p>
      <w:pPr>
        <w:pStyle w:val="Heading3"/>
      </w:pPr>
      <w:r>
        <w:t xml:space="preserve">6. HIPAA and Data Protection</w:t>
      </w:r>
    </w:p>
    <w:p>
      <w:pPr>
        <w:pStyle w:val="FirstParagraph"/>
      </w:pPr>
      <w:r>
        <w:rPr>
          <w:bCs/>
          <w:b/>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Cs/>
          <w:b/>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Cs/>
          <w:b/>
        </w:rPr>
        <w:t xml:space="preserve">6.3</w:t>
      </w:r>
      <w:r>
        <w:t xml:space="preserve"> </w:t>
      </w:r>
      <w:r>
        <w:t xml:space="preserve">CompoundIQ maintains the following HIPAA-adjacent controls:</w:t>
      </w:r>
    </w:p>
    <w:p>
      <w:pPr>
        <w:numPr>
          <w:ilvl w:val="0"/>
          <w:numId w:val="1007"/>
        </w:numPr>
        <w:pStyle w:val="Compact"/>
      </w:pPr>
      <w:r>
        <w:t xml:space="preserve">AES-256 encryption at rest</w:t>
      </w:r>
    </w:p>
    <w:p>
      <w:pPr>
        <w:numPr>
          <w:ilvl w:val="0"/>
          <w:numId w:val="1007"/>
        </w:numPr>
        <w:pStyle w:val="Compact"/>
      </w:pPr>
      <w:r>
        <w:t xml:space="preserve">TLS 1.2+ in transit</w:t>
      </w:r>
    </w:p>
    <w:p>
      <w:pPr>
        <w:numPr>
          <w:ilvl w:val="0"/>
          <w:numId w:val="1007"/>
        </w:numPr>
        <w:pStyle w:val="Compact"/>
      </w:pPr>
      <w:r>
        <w:t xml:space="preserve">Row-Level Security on all database tables</w:t>
      </w:r>
    </w:p>
    <w:p>
      <w:pPr>
        <w:numPr>
          <w:ilvl w:val="0"/>
          <w:numId w:val="1007"/>
        </w:numPr>
        <w:pStyle w:val="Compact"/>
      </w:pPr>
      <w:r>
        <w:t xml:space="preserve">Zero PHI in Stripe payment metadata</w:t>
      </w:r>
    </w:p>
    <w:p>
      <w:pPr>
        <w:numPr>
          <w:ilvl w:val="0"/>
          <w:numId w:val="1007"/>
        </w:numPr>
        <w:pStyle w:val="Compact"/>
      </w:pPr>
      <w:r>
        <w:t xml:space="preserve">PHI-scrubbed error monitoring</w:t>
      </w:r>
    </w:p>
    <w:p>
      <w:pPr>
        <w:numPr>
          <w:ilvl w:val="0"/>
          <w:numId w:val="1007"/>
        </w:numPr>
        <w:pStyle w:val="Compact"/>
      </w:pPr>
      <w:r>
        <w:t xml:space="preserve">Immutable audit trails</w:t>
      </w:r>
    </w:p>
    <w:p>
      <w:pPr>
        <w:numPr>
          <w:ilvl w:val="0"/>
          <w:numId w:val="1007"/>
        </w:numPr>
        <w:pStyle w:val="Compact"/>
      </w:pPr>
      <w:r>
        <w:t xml:space="preserve">Subprocessor BAAs with Supabase, Stripe, Twilio, Documo, Vercel, and Sentry</w:t>
      </w:r>
    </w:p>
    <w:bookmarkEnd w:id="25"/>
    <w:bookmarkStart w:id="26" w:name="no-binding-commercial-obligations"/>
    <w:p>
      <w:pPr>
        <w:pStyle w:val="Heading3"/>
      </w:pPr>
      <w:r>
        <w:t xml:space="preserve">7. No Binding Commercial Obligations</w:t>
      </w:r>
    </w:p>
    <w:p>
      <w:pPr>
        <w:pStyle w:val="FirstParagraph"/>
      </w:pPr>
      <w:r>
        <w:rPr>
          <w:bCs/>
          <w:b/>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26"/>
    <w:bookmarkStart w:id="27"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27"/>
    <w:bookmarkStart w:id="28"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Cs/>
          <w:b/>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Cs/>
          <w:b/>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28"/>
    <w:bookmarkEnd w:id="29"/>
    <w:bookmarkStart w:id="36" w:name="notes-for-you-delete-before-sending"/>
    <w:p>
      <w:pPr>
        <w:pStyle w:val="Heading2"/>
      </w:pPr>
      <w:r>
        <w:t xml:space="preserve">Notes for You (Delete Before Sending)</w:t>
      </w:r>
    </w:p>
    <w:bookmarkStart w:id="30" w:name="how-to-use-this-template"/>
    <w:p>
      <w:pPr>
        <w:pStyle w:val="Heading3"/>
      </w:pPr>
      <w:r>
        <w:t xml:space="preserve">How to Use This Template</w:t>
      </w:r>
    </w:p>
    <w:p>
      <w:pPr>
        <w:numPr>
          <w:ilvl w:val="0"/>
          <w:numId w:val="1008"/>
        </w:numPr>
        <w:pStyle w:val="Compact"/>
      </w:pPr>
      <w:r>
        <w:rPr>
          <w:bCs/>
          <w:b/>
        </w:rPr>
        <w:t xml:space="preserve">Copy the template above</w:t>
      </w:r>
      <w:r>
        <w:t xml:space="preserve"> </w:t>
      </w:r>
      <w:r>
        <w:t xml:space="preserve">into a new Google Doc or Word file</w:t>
      </w:r>
    </w:p>
    <w:p>
      <w:pPr>
        <w:numPr>
          <w:ilvl w:val="0"/>
          <w:numId w:val="1008"/>
        </w:numPr>
        <w:pStyle w:val="Compact"/>
      </w:pPr>
      <w:r>
        <w:rPr>
          <w:bCs/>
          <w:b/>
        </w:rPr>
        <w:t xml:space="preserve">Fill in every [BRACKETED] field</w:t>
      </w:r>
      <w:r>
        <w:t xml:space="preserve"> </w:t>
      </w:r>
      <w:r>
        <w:t xml:space="preserve">— don’t send with placeholders still in the doc</w:t>
      </w:r>
    </w:p>
    <w:p>
      <w:pPr>
        <w:numPr>
          <w:ilvl w:val="0"/>
          <w:numId w:val="1008"/>
        </w:numPr>
        <w:pStyle w:val="Compact"/>
      </w:pPr>
      <w:r>
        <w:rPr>
          <w:bCs/>
          <w:b/>
        </w:rPr>
        <w:t xml:space="preserve">Name the file</w:t>
      </w:r>
      <w:r>
        <w:t xml:space="preserve"> </w:t>
      </w:r>
      <w:r>
        <w:t xml:space="preserve">something professional:</w:t>
      </w:r>
      <w:r>
        <w:t xml:space="preserve"> </w:t>
      </w:r>
      <w:r>
        <w:rPr>
          <w:rStyle w:val="VerbatimChar"/>
        </w:rPr>
        <w:t xml:space="preserve">CompoundIQ_Design_Partner_LOI_[ClinicName]_[Date].docx</w:t>
      </w:r>
    </w:p>
    <w:p>
      <w:pPr>
        <w:numPr>
          <w:ilvl w:val="0"/>
          <w:numId w:val="1008"/>
        </w:numPr>
        <w:pStyle w:val="Compact"/>
      </w:pPr>
      <w:r>
        <w:rPr>
          <w:bCs/>
          <w:b/>
        </w:rPr>
        <w:t xml:space="preserve">Convert to PDF</w:t>
      </w:r>
      <w:r>
        <w:t xml:space="preserve"> </w:t>
      </w:r>
      <w:r>
        <w:t xml:space="preserve">before sending (prevents edits)</w:t>
      </w:r>
    </w:p>
    <w:p>
      <w:pPr>
        <w:numPr>
          <w:ilvl w:val="0"/>
          <w:numId w:val="1008"/>
        </w:numPr>
        <w:pStyle w:val="Compact"/>
      </w:pPr>
      <w:r>
        <w:rPr>
          <w:bCs/>
          <w:b/>
        </w:rPr>
        <w:t xml:space="preserve">Use DocuSign or HelloSign</w:t>
      </w:r>
      <w:r>
        <w:t xml:space="preserve"> </w:t>
      </w:r>
      <w:r>
        <w:t xml:space="preserve">for signatures — sending a PDF with a</w:t>
      </w:r>
      <w:r>
        <w:t xml:space="preserve"> </w:t>
      </w:r>
      <w:r>
        <w:t xml:space="preserve">“</w:t>
      </w:r>
      <w:r>
        <w:t xml:space="preserve">sign and scan back</w:t>
      </w:r>
      <w:r>
        <w:t xml:space="preserve">”</w:t>
      </w:r>
      <w:r>
        <w:t xml:space="preserve"> </w:t>
      </w:r>
      <w:r>
        <w:t xml:space="preserve">request adds 3-5 days of friction. Both have free tiers for your volume.</w:t>
      </w:r>
    </w:p>
    <w:bookmarkEnd w:id="30"/>
    <w:bookmarkStart w:id="31" w:name="what-to-customize-per-clinic"/>
    <w:p>
      <w:pPr>
        <w:pStyle w:val="Heading3"/>
      </w:pPr>
      <w:r>
        <w:t xml:space="preserve">What to Customize Per Clinic</w:t>
      </w:r>
    </w:p>
    <w:p>
      <w:pPr>
        <w:numPr>
          <w:ilvl w:val="0"/>
          <w:numId w:val="1009"/>
        </w:numPr>
        <w:pStyle w:val="Compact"/>
      </w:pPr>
      <w:r>
        <w:rPr>
          <w:bCs/>
          <w:b/>
        </w:rPr>
        <w:t xml:space="preserve">Clinic legal name</w:t>
      </w:r>
      <w:r>
        <w:t xml:space="preserve"> </w:t>
      </w:r>
      <w:r>
        <w:t xml:space="preserve">— look this up on their state’s business registry, not just what they call themselves</w:t>
      </w:r>
    </w:p>
    <w:p>
      <w:pPr>
        <w:numPr>
          <w:ilvl w:val="0"/>
          <w:numId w:val="1009"/>
        </w:numPr>
        <w:pStyle w:val="Compact"/>
      </w:pPr>
      <w:r>
        <w:rPr>
          <w:bCs/>
          <w:b/>
        </w:rPr>
        <w:t xml:space="preserve">Fee waiver length</w:t>
      </w:r>
      <w:r>
        <w:t xml:space="preserve"> </w:t>
      </w:r>
      <w:r>
        <w:t xml:space="preserve">— 6 months is the anchor; for a high-volume clinic (100+ prescriptions/month expected), you could go to 12 months as a recruiting tool. For a small clinic, 3 months is fine.</w:t>
      </w:r>
    </w:p>
    <w:p>
      <w:pPr>
        <w:numPr>
          <w:ilvl w:val="0"/>
          <w:numId w:val="1009"/>
        </w:numPr>
        <w:pStyle w:val="Compact"/>
      </w:pPr>
      <w:r>
        <w:rPr>
          <w:bCs/>
          <w:b/>
        </w:rPr>
        <w:t xml:space="preserve">Governing law</w:t>
      </w:r>
      <w:r>
        <w:t xml:space="preserve"> </w:t>
      </w:r>
      <w:r>
        <w:t xml:space="preserve">— match your state of incorporation (Delaware is typical)</w:t>
      </w:r>
    </w:p>
    <w:p>
      <w:pPr>
        <w:numPr>
          <w:ilvl w:val="0"/>
          <w:numId w:val="1009"/>
        </w:numPr>
        <w:pStyle w:val="Compact"/>
      </w:pPr>
      <w:r>
        <w:rPr>
          <w:bCs/>
          <w:b/>
        </w:rPr>
        <w:t xml:space="preserve">Your title</w:t>
      </w:r>
      <w:r>
        <w:t xml:space="preserve"> </w:t>
      </w:r>
      <w:r>
        <w:t xml:space="preserve">—</w:t>
      </w:r>
      <w:r>
        <w:t xml:space="preserve"> </w:t>
      </w:r>
      <w:r>
        <w:t xml:space="preserve">“</w:t>
      </w:r>
      <w:r>
        <w:t xml:space="preserve">Founder &amp; CEO</w:t>
      </w:r>
      <w:r>
        <w:t xml:space="preserve">”</w:t>
      </w:r>
      <w:r>
        <w:t xml:space="preserve"> </w:t>
      </w:r>
      <w:r>
        <w:t xml:space="preserve">is fine; use whatever is on your LinkedIn</w:t>
      </w:r>
    </w:p>
    <w:bookmarkEnd w:id="31"/>
    <w:bookmarkStart w:id="32" w:name="red-flags-during-loi-negotiation"/>
    <w:p>
      <w:pPr>
        <w:pStyle w:val="Heading3"/>
      </w:pPr>
      <w:r>
        <w:t xml:space="preserve">Red Flags During LOI Negotiation</w:t>
      </w:r>
    </w:p>
    <w:p>
      <w:pPr>
        <w:pStyle w:val="FirstParagraph"/>
      </w:pPr>
      <w:r>
        <w:t xml:space="preserve">If a clinic pushes back on any of these, pause and think:</w:t>
      </w:r>
    </w:p>
    <w:p>
      <w:pPr>
        <w:numPr>
          <w:ilvl w:val="0"/>
          <w:numId w:val="1010"/>
        </w:numPr>
        <w:pStyle w:val="Compact"/>
      </w:pPr>
      <w:r>
        <w:rPr>
          <w:bCs/>
          <w:b/>
        </w:rPr>
        <w:t xml:space="preserve">“</w:t>
      </w:r>
      <w:r>
        <w:rPr>
          <w:bCs/>
          <w:b/>
        </w:rPr>
        <w:t xml:space="preserve">We want exclusivity</w:t>
      </w:r>
      <w:r>
        <w:rPr>
          <w:bCs/>
          <w:b/>
        </w:rPr>
        <w:t xml:space="preserve">”</w:t>
      </w:r>
      <w:r>
        <w:t xml:space="preserve"> </w:t>
      </w:r>
      <w:r>
        <w:t xml:space="preserve">— no. You are building a marketplace. Do not grant exclusivity to a design partner.</w:t>
      </w:r>
    </w:p>
    <w:p>
      <w:pPr>
        <w:numPr>
          <w:ilvl w:val="0"/>
          <w:numId w:val="1010"/>
        </w:numPr>
        <w:pStyle w:val="Compact"/>
      </w:pPr>
      <w:r>
        <w:rPr>
          <w:bCs/>
          <w:b/>
        </w:rPr>
        <w:t xml:space="preserve">“</w:t>
      </w:r>
      <w:r>
        <w:rPr>
          <w:bCs/>
          <w:b/>
        </w:rPr>
        <w:t xml:space="preserve">We want equity in exchange</w:t>
      </w:r>
      <w:r>
        <w:rPr>
          <w:bCs/>
          <w:b/>
        </w:rPr>
        <w:t xml:space="preserve">”</w:t>
      </w:r>
      <w:r>
        <w:t xml:space="preserve"> </w:t>
      </w:r>
      <w:r>
        <w:t xml:space="preserve">— generally no, unless this is a marquee brand (Parsley Health, Maximus, One Medical tier). Design partners pay in time/feedback, not equity dilution.</w:t>
      </w:r>
    </w:p>
    <w:p>
      <w:pPr>
        <w:numPr>
          <w:ilvl w:val="0"/>
          <w:numId w:val="1010"/>
        </w:numPr>
        <w:pStyle w:val="Compact"/>
      </w:pPr>
      <w:r>
        <w:rPr>
          <w:bCs/>
          <w:b/>
        </w:rPr>
        <w:t xml:space="preserve">“</w:t>
      </w:r>
      <w:r>
        <w:rPr>
          <w:bCs/>
          <w:b/>
        </w:rPr>
        <w:t xml:space="preserve">We want a longer term</w:t>
      </w:r>
      <w:r>
        <w:rPr>
          <w:bCs/>
          <w:b/>
        </w:rPr>
        <w:t xml:space="preserve">”</w:t>
      </w:r>
      <w:r>
        <w:t xml:space="preserve"> </w:t>
      </w:r>
      <w:r>
        <w:t xml:space="preserve">— fine, but don’t go beyond 18 months.</w:t>
      </w:r>
    </w:p>
    <w:p>
      <w:pPr>
        <w:numPr>
          <w:ilvl w:val="0"/>
          <w:numId w:val="1010"/>
        </w:numPr>
        <w:pStyle w:val="Compact"/>
      </w:pPr>
      <w:r>
        <w:rPr>
          <w:bCs/>
          <w:b/>
        </w:rPr>
        <w:t xml:space="preserve">“</w:t>
      </w:r>
      <w:r>
        <w:rPr>
          <w:bCs/>
          <w:b/>
        </w:rPr>
        <w:t xml:space="preserve">We want indemnification</w:t>
      </w:r>
      <w:r>
        <w:rPr>
          <w:bCs/>
          <w:b/>
        </w:rPr>
        <w:t xml:space="preserve">”</w:t>
      </w:r>
      <w:r>
        <w:t xml:space="preserve"> </w:t>
      </w:r>
      <w:r>
        <w:t xml:space="preserve">— standard SaaS-tier indemnity clauses are fine, but those belong in the MSA, not this LOI. Defer.</w:t>
      </w:r>
    </w:p>
    <w:p>
      <w:pPr>
        <w:numPr>
          <w:ilvl w:val="0"/>
          <w:numId w:val="1010"/>
        </w:numPr>
        <w:pStyle w:val="Compact"/>
      </w:pPr>
      <w:r>
        <w:rPr>
          <w:bCs/>
          <w:b/>
        </w:rPr>
        <w:t xml:space="preserve">“</w:t>
      </w:r>
      <w:r>
        <w:rPr>
          <w:bCs/>
          <w:b/>
        </w:rPr>
        <w:t xml:space="preserve">We need SOC 2 before we’ll sign</w:t>
      </w:r>
      <w:r>
        <w:rPr>
          <w:bCs/>
          <w:b/>
        </w:rPr>
        <w:t xml:space="preserve">”</w:t>
      </w:r>
      <w:r>
        <w:t xml:space="preserve"> </w:t>
      </w:r>
      <w:r>
        <w:t xml:space="preserve">— you don’t have SOC 2 yet. Explain the HIPAA-adjacent architecture, commit to SOC 2 Type 1 within 12 months.</w:t>
      </w:r>
    </w:p>
    <w:bookmarkEnd w:id="32"/>
    <w:bookmarkStart w:id="33" w:name="timing"/>
    <w:p>
      <w:pPr>
        <w:pStyle w:val="Heading3"/>
      </w:pPr>
      <w:r>
        <w:t xml:space="preserve">Timing</w:t>
      </w:r>
    </w:p>
    <w:p>
      <w:pPr>
        <w:numPr>
          <w:ilvl w:val="0"/>
          <w:numId w:val="1011"/>
        </w:numPr>
        <w:pStyle w:val="Compact"/>
      </w:pPr>
      <w:r>
        <w:rPr>
          <w:bCs/>
          <w:b/>
        </w:rPr>
        <w:t xml:space="preserve">Day 0:</w:t>
      </w:r>
      <w:r>
        <w:t xml:space="preserve"> </w:t>
      </w:r>
      <w:r>
        <w:t xml:space="preserve">Demo call ends with verbal</w:t>
      </w:r>
      <w:r>
        <w:t xml:space="preserve"> </w:t>
      </w:r>
      <w:r>
        <w:t xml:space="preserve">“</w:t>
      </w:r>
      <w:r>
        <w:t xml:space="preserve">yes, we’re in</w:t>
      </w:r>
      <w:r>
        <w:t xml:space="preserve">”</w:t>
      </w:r>
    </w:p>
    <w:p>
      <w:pPr>
        <w:numPr>
          <w:ilvl w:val="0"/>
          <w:numId w:val="1011"/>
        </w:numPr>
        <w:pStyle w:val="Compact"/>
      </w:pPr>
      <w:r>
        <w:rPr>
          <w:bCs/>
          <w:b/>
        </w:rPr>
        <w:t xml:space="preserve">Day 1:</w:t>
      </w:r>
      <w:r>
        <w:t xml:space="preserve"> </w:t>
      </w:r>
      <w:r>
        <w:t xml:space="preserve">Email sent with LOI PDF attached and DocuSign link</w:t>
      </w:r>
    </w:p>
    <w:p>
      <w:pPr>
        <w:numPr>
          <w:ilvl w:val="0"/>
          <w:numId w:val="1011"/>
        </w:numPr>
        <w:pStyle w:val="Compact"/>
      </w:pPr>
      <w:r>
        <w:rPr>
          <w:bCs/>
          <w:b/>
        </w:rPr>
        <w:t xml:space="preserve">Day 3:</w:t>
      </w:r>
      <w:r>
        <w:t xml:space="preserve"> </w:t>
      </w:r>
      <w:r>
        <w:t xml:space="preserve">Follow up if no signature —</w:t>
      </w:r>
      <w:r>
        <w:t xml:space="preserve"> </w:t>
      </w:r>
      <w:r>
        <w:t xml:space="preserve">“</w:t>
      </w:r>
      <w:r>
        <w:t xml:space="preserve">did this land OK?</w:t>
      </w:r>
      <w:r>
        <w:t xml:space="preserve">”</w:t>
      </w:r>
    </w:p>
    <w:p>
      <w:pPr>
        <w:numPr>
          <w:ilvl w:val="0"/>
          <w:numId w:val="1011"/>
        </w:numPr>
        <w:pStyle w:val="Compact"/>
      </w:pPr>
      <w:r>
        <w:rPr>
          <w:bCs/>
          <w:b/>
        </w:rPr>
        <w:t xml:space="preserve">Day 5:</w:t>
      </w:r>
      <w:r>
        <w:t xml:space="preserve"> </w:t>
      </w:r>
      <w:r>
        <w:t xml:space="preserve">If still no signature, short call to address any concerns</w:t>
      </w:r>
    </w:p>
    <w:p>
      <w:pPr>
        <w:numPr>
          <w:ilvl w:val="0"/>
          <w:numId w:val="1011"/>
        </w:numPr>
        <w:pStyle w:val="Compact"/>
      </w:pPr>
      <w:r>
        <w:rPr>
          <w:bCs/>
          <w:b/>
        </w:rPr>
        <w:t xml:space="preserve">Day 7:</w:t>
      </w:r>
      <w:r>
        <w:t xml:space="preserve"> </w:t>
      </w:r>
      <w:r>
        <w:t xml:space="preserve">If still nothing, assume they’re stalling. The design partner slot is not yours unless they sign.</w:t>
      </w:r>
    </w:p>
    <w:bookmarkEnd w:id="33"/>
    <w:bookmarkStart w:id="34" w:name="after-signature"/>
    <w:p>
      <w:pPr>
        <w:pStyle w:val="Heading3"/>
      </w:pPr>
      <w:r>
        <w:t xml:space="preserve">After Signature</w:t>
      </w:r>
    </w:p>
    <w:p>
      <w:pPr>
        <w:pStyle w:val="FirstParagraph"/>
      </w:pPr>
      <w:r>
        <w:t xml:space="preserve">Same day as signature:</w:t>
      </w:r>
    </w:p>
    <w:p>
      <w:pPr>
        <w:numPr>
          <w:ilvl w:val="0"/>
          <w:numId w:val="1012"/>
        </w:numPr>
        <w:pStyle w:val="Compact"/>
      </w:pPr>
      <w:r>
        <w:t xml:space="preserve">Create their accounts in the platform (ops_admin can do this via admin tools)</w:t>
      </w:r>
    </w:p>
    <w:p>
      <w:pPr>
        <w:numPr>
          <w:ilvl w:val="0"/>
          <w:numId w:val="1012"/>
        </w:numPr>
        <w:pStyle w:val="Compact"/>
      </w:pPr>
      <w:r>
        <w:t xml:space="preserve">Send welcome email with URLs, credentials, and training session calendar link</w:t>
      </w:r>
    </w:p>
    <w:p>
      <w:pPr>
        <w:numPr>
          <w:ilvl w:val="0"/>
          <w:numId w:val="1012"/>
        </w:numPr>
        <w:pStyle w:val="Compact"/>
      </w:pPr>
      <w:r>
        <w:t xml:space="preserve">Add them to your Slack / Notion / CRM as a Design Partner</w:t>
      </w:r>
    </w:p>
    <w:p>
      <w:pPr>
        <w:numPr>
          <w:ilvl w:val="0"/>
          <w:numId w:val="1012"/>
        </w:numPr>
        <w:pStyle w:val="Compact"/>
      </w:pPr>
      <w:r>
        <w:t xml:space="preserve">Start the 6-month fee-waiver clock — note the end date in your calendar</w:t>
      </w:r>
    </w:p>
    <w:p>
      <w:pPr>
        <w:numPr>
          <w:ilvl w:val="0"/>
          <w:numId w:val="1012"/>
        </w:numPr>
        <w:pStyle w:val="Compact"/>
      </w:pPr>
      <w:r>
        <w:t xml:space="preserve">Schedule the 1-hour training session within 5 business days</w:t>
      </w:r>
    </w:p>
    <w:p>
      <w:pPr>
        <w:numPr>
          <w:ilvl w:val="0"/>
          <w:numId w:val="1012"/>
        </w:numPr>
        <w:pStyle w:val="Compact"/>
      </w:pPr>
      <w:r>
        <w:t xml:space="preserve">Ask for pharmacy introductions in the welcome email:</w:t>
      </w:r>
      <w:r>
        <w:t xml:space="preserve"> </w:t>
      </w:r>
      <w:r>
        <w:t xml:space="preserve">“</w:t>
      </w:r>
      <w:r>
        <w:t xml:space="preserve">Now that we’re working together, which 3-5 compounding pharmacies do you prescribe through most often? Would you be open to us emailing them with your name attached?</w:t>
      </w:r>
      <w:r>
        <w:t xml:space="preserve">”</w:t>
      </w:r>
    </w:p>
    <w:bookmarkEnd w:id="34"/>
    <w:bookmarkStart w:id="35" w:name="post-training-milestones-to-track"/>
    <w:p>
      <w:pPr>
        <w:pStyle w:val="Heading3"/>
      </w:pPr>
      <w:r>
        <w:t xml:space="preserve">Post-Training Milestones to Track</w:t>
      </w:r>
    </w:p>
    <w:p>
      <w:pPr>
        <w:numPr>
          <w:ilvl w:val="0"/>
          <w:numId w:val="1013"/>
        </w:numPr>
        <w:pStyle w:val="Compact"/>
      </w:pPr>
      <w:r>
        <w:t xml:space="preserve">☐ First test prescription created (any patient, any pharmacy)</w:t>
      </w:r>
    </w:p>
    <w:p>
      <w:pPr>
        <w:numPr>
          <w:ilvl w:val="0"/>
          <w:numId w:val="1013"/>
        </w:numPr>
        <w:pStyle w:val="Compact"/>
      </w:pPr>
      <w:r>
        <w:t xml:space="preserve">☐ First real prescription signed</w:t>
      </w:r>
    </w:p>
    <w:p>
      <w:pPr>
        <w:numPr>
          <w:ilvl w:val="0"/>
          <w:numId w:val="1013"/>
        </w:numPr>
        <w:pStyle w:val="Compact"/>
      </w:pPr>
      <w:r>
        <w:t xml:space="preserve">☐ First real prescription paid by patient</w:t>
      </w:r>
    </w:p>
    <w:p>
      <w:pPr>
        <w:numPr>
          <w:ilvl w:val="0"/>
          <w:numId w:val="1013"/>
        </w:numPr>
        <w:pStyle w:val="Compact"/>
      </w:pPr>
      <w:r>
        <w:t xml:space="preserve">☐ First $22.50 platform fee earned (post-waiver) OR first tracked Rx during waiver period</w:t>
      </w:r>
    </w:p>
    <w:p>
      <w:pPr>
        <w:numPr>
          <w:ilvl w:val="0"/>
          <w:numId w:val="1013"/>
        </w:numPr>
        <w:pStyle w:val="Compact"/>
      </w:pPr>
      <w:r>
        <w:t xml:space="preserve">☐ First multi-Rx session (tests the batch flow)</w:t>
      </w:r>
    </w:p>
    <w:p>
      <w:pPr>
        <w:numPr>
          <w:ilvl w:val="0"/>
          <w:numId w:val="1013"/>
        </w:numPr>
        <w:pStyle w:val="Compact"/>
      </w:pPr>
      <w:r>
        <w:t xml:space="preserve">☐ First controlled substance prescription (tests EPCS 2FA)</w:t>
      </w:r>
    </w:p>
    <w:p>
      <w:pPr>
        <w:numPr>
          <w:ilvl w:val="0"/>
          <w:numId w:val="1013"/>
        </w:numPr>
        <w:pStyle w:val="Compact"/>
      </w:pPr>
      <w:r>
        <w:t xml:space="preserve">☐ First draft → sign flow (tests the MA/provider handoff)</w:t>
      </w:r>
    </w:p>
    <w:p>
      <w:pPr>
        <w:numPr>
          <w:ilvl w:val="0"/>
          <w:numId w:val="1013"/>
        </w:numPr>
        <w:pStyle w:val="Compact"/>
      </w:pPr>
      <w:r>
        <w:t xml:space="preserve">☐ First patient checkout completed</w:t>
      </w:r>
    </w:p>
    <w:p>
      <w:pPr>
        <w:numPr>
          <w:ilvl w:val="0"/>
          <w:numId w:val="1013"/>
        </w:numPr>
        <w:pStyle w:val="Compact"/>
      </w:pPr>
      <w:r>
        <w:t xml:space="preserve">☐ 30-day feedback interview scheduled</w:t>
      </w:r>
    </w:p>
    <w:p>
      <w:pPr>
        <w:numPr>
          <w:ilvl w:val="0"/>
          <w:numId w:val="1013"/>
        </w:numPr>
        <w:pStyle w:val="Compact"/>
      </w:pPr>
      <w:r>
        <w:t xml:space="preserve">☐ 60-day case study interview scheduled (if they opted in)</w:t>
      </w:r>
    </w:p>
    <w:p>
      <w:r>
        <w:pict>
          <v:rect style="width:0;height:1.5pt" o:hralign="center" o:hrstd="t" o:hr="t"/>
        </w:pict>
      </w:r>
    </w:p>
    <w:bookmarkEnd w:id="35"/>
    <w:bookmarkEnd w:id="36"/>
    <w:bookmarkStart w:id="37" w:name="version-control"/>
    <w:p>
      <w:pPr>
        <w:pStyle w:val="Heading2"/>
      </w:pPr>
      <w:r>
        <w:t xml:space="preserve">Version Control</w:t>
      </w:r>
    </w:p>
    <w:p>
      <w:pPr>
        <w:numPr>
          <w:ilvl w:val="0"/>
          <w:numId w:val="1014"/>
        </w:numPr>
        <w:pStyle w:val="Compact"/>
      </w:pPr>
      <w:r>
        <w:t xml:space="preserve">v1.0 — 2026-04-13 — Initial template</w:t>
      </w:r>
    </w:p>
    <w:p>
      <w:pPr>
        <w:pStyle w:val="FirstParagraph"/>
      </w:pPr>
      <w:r>
        <w:t xml:space="preserve">Update this file as you learn what works and what gets pushed back on during negotiations.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2026-08-16T18:24:17Z</dcterms:created>
  <dcterms:modified xsi:type="dcterms:W3CDTF">2026-08-16T18:24:17Z</dcterms:modified>
</cp:coreProperties>
</file>

<file path=docProps/custom.xml><?xml version="1.0" encoding="utf-8"?>
<Properties xmlns="http://schemas.openxmlformats.org/officeDocument/2006/custom-properties" xmlns:vt="http://schemas.openxmlformats.org/officeDocument/2006/docPropsVTypes"/>
</file>