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2.1 |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/>
          <w:bCs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/>
          <w:bCs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pStyle w:val="Compact"/>
        <w:numPr>
          <w:ilvl w:val="0"/>
          <w:numId w:val="1001"/>
        </w:numPr>
      </w:pPr>
      <w:r>
        <w:t xml:space="preserve">Stripe test card: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78701</w:t>
      </w:r>
    </w:p>
    <w:p>
      <w:r>
        <w:pict>
          <v:rect style="width:0;height:1.5pt" o:hralign="center" o:hrstd="t" o:hr="t"/>
        </w:pict>
      </w:r>
    </w:p>
    <w:bookmarkEnd w:id="9"/>
    <w:bookmarkStart w:id="17" w:name="demo-flow-6-steps"/>
    <w:p>
      <w:pPr>
        <w:pStyle w:val="Heading2"/>
      </w:pPr>
      <w:r>
        <w:t xml:space="preserve">Demo Flow (6 Steps)</w:t>
      </w:r>
    </w:p>
    <w:bookmarkStart w:id="10" w:name="step-1-show-the-clinic-app-2-min"/>
    <w:p>
      <w:pPr>
        <w:pStyle w:val="Heading3"/>
      </w:pPr>
      <w:r>
        <w:t xml:space="preserve">Step 1 — Show the Clinic App (2 min)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pStyle w:val="Compact"/>
        <w:numPr>
          <w:ilvl w:val="0"/>
          <w:numId w:val="1002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pStyle w:val="Compact"/>
        <w:numPr>
          <w:ilvl w:val="0"/>
          <w:numId w:val="1002"/>
        </w:numPr>
      </w:pPr>
      <w:r>
        <w:t xml:space="preserve">Collapse/expand the</w:t>
      </w:r>
      <w:r>
        <w:t xml:space="preserve"> </w:t>
      </w:r>
      <w:r>
        <w:rPr>
          <w:b/>
          <w:bCs/>
        </w:rPr>
        <w:t xml:space="preserve">sidebar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“This is the medical assistant’s workspace. All clinic orders at a glance.”</w:t>
      </w:r>
    </w:p>
    <w:p>
      <w:r>
        <w:pict>
          <v:rect style="width:0;height:1.5pt" o:hralign="center" o:hrstd="t" o:hr="t"/>
        </w:pict>
      </w:r>
    </w:p>
    <w:bookmarkEnd w:id="10"/>
    <w:bookmarkStart w:id="11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“+ New Prescription”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Alex Demo</w:t>
      </w:r>
      <w:r>
        <w:t xml:space="preserve"> </w:t>
      </w:r>
      <w:r>
        <w:t xml:space="preserve">as patient → provider auto-selects → Continue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Show Quick Actions Panel</w:t>
      </w:r>
      <w:r>
        <w:t xml:space="preserve"> </w:t>
      </w:r>
      <w:r>
        <w:t xml:space="preserve">— Favorites tab (4+ saved configs) and Protocols tab (2 templates). Click a favorite like</w:t>
      </w:r>
      <w:r>
        <w:t xml:space="preserve"> </w:t>
      </w:r>
      <w:r>
        <w:t xml:space="preserve">“Semaglutide 0.5mg weekly”</w:t>
      </w:r>
      <w:r>
        <w:t xml:space="preserve"> </w:t>
      </w:r>
      <w:r>
        <w:t xml:space="preserve">for one-click load, OR: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  <w:bCs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/>
          <w:bCs/>
        </w:rPr>
        <w:t xml:space="preserve">“Continue — Set Retail Price”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2x multiplier</w:t>
      </w:r>
      <w:r>
        <w:t xml:space="preserve"> </w:t>
      </w:r>
      <w:r>
        <w:t xml:space="preserve">→ show margin math ($300 retail, $127.50 est. clinic margin). Sig is pre-filled.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“Add &amp; Search Another”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  <w:bCs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/>
          <w:bCs/>
        </w:rPr>
        <w:t xml:space="preserve">“Review &amp; Send (2)”</w:t>
      </w:r>
    </w:p>
    <w:p>
      <w:pPr>
        <w:pStyle w:val="Compact"/>
        <w:numPr>
          <w:ilvl w:val="0"/>
          <w:numId w:val="1003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“Confirm &amp; Send”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/>
          <w:bCs/>
        </w:rPr>
        <w:t xml:space="preserve">EPCS 2FA Tip:</w:t>
      </w:r>
      <w:r>
        <w:t xml:space="preserve"> </w:t>
      </w:r>
      <w:r>
        <w:t xml:space="preserve">The EPCS 2FA modal (QR code + 6-digit TOTP) triggers from the single-Rx favorites flow with a controlled substance, not the batch path. Demo it separately if needed.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“Cascading dropdowns, structured sig builder, provider favorites, DEA-compliant 2FA. Patient selected first. Two prescriptions. One signature. 45 seconds for a multi-medication visit.”</w:t>
      </w:r>
    </w:p>
    <w:bookmarkEnd w:id="11"/>
    <w:bookmarkStart w:id="12" w:name="step-2b-draft-flow-2-min"/>
    <w:p>
      <w:pPr>
        <w:pStyle w:val="Heading3"/>
      </w:pPr>
      <w:r>
        <w:t xml:space="preserve">Step 2B — Draft Flow (2 min)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“+ New Prescription”</w:t>
      </w:r>
      <w:r>
        <w:t xml:space="preserve"> </w:t>
      </w:r>
      <w:r>
        <w:t xml:space="preserve">→ Select Alex Demo → Continue</w:t>
      </w:r>
    </w:p>
    <w:p>
      <w:pPr>
        <w:pStyle w:val="Compact"/>
        <w:numPr>
          <w:ilvl w:val="0"/>
          <w:numId w:val="1004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“Save as Draft — Provider Signs Later”</w:t>
      </w:r>
      <w:r>
        <w:t xml:space="preserve"> </w:t>
      </w:r>
      <w:r>
        <w:t xml:space="preserve">→ redirects to dashboard</w:t>
      </w:r>
    </w:p>
    <w:p>
      <w:pPr>
        <w:pStyle w:val="Compact"/>
        <w:numPr>
          <w:ilvl w:val="0"/>
          <w:numId w:val="1004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“Drafts”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— the draft order is visible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/>
          <w:bCs/>
        </w:rPr>
        <w:t xml:space="preserve">“Review &amp; Sign”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04"/>
        </w:numPr>
      </w:pPr>
      <w:r>
        <w:t xml:space="preserve">Review details →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“Awaiting Payment”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“The MA saves it. The provider signs it later. Different sessions, different logins. This is how real clinics work.”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Get the checkout URL</w:t>
      </w:r>
      <w:r>
        <w:t xml:space="preserve"> </w:t>
      </w:r>
      <w:r>
        <w:t xml:space="preserve">— In a separate terminal, run: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dotenv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.env.local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npx tsx scripts/get-checkout-url.ts</w:t>
      </w:r>
    </w:p>
    <w:p>
      <w:pPr>
        <w:pStyle w:val="FirstParagraph"/>
      </w:pPr>
      <w:r>
        <w:t xml:space="preserve">Copy the URL from the output. (In production, the patient receives this via text message.)</w:t>
      </w:r>
    </w:p>
    <w:p>
      <w:r>
        <w:pict>
          <v:rect style="width:0;height:1.5pt" o:hralign="center" o:hrstd="t" o:hr="t"/>
        </w:pict>
      </w:r>
    </w:p>
    <w:bookmarkEnd w:id="12"/>
    <w:bookmarkStart w:id="13" w:name="step-3-patient-checkout-2-min"/>
    <w:p>
      <w:pPr>
        <w:pStyle w:val="Heading3"/>
      </w:pPr>
      <w:r>
        <w:t xml:space="preserve">Step 3 — Patient Checkout (2 min)</w:t>
      </w:r>
    </w:p>
    <w:p>
      <w:pPr>
        <w:pStyle w:val="Compact"/>
        <w:numPr>
          <w:ilvl w:val="0"/>
          <w:numId w:val="1006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pStyle w:val="Compact"/>
        <w:numPr>
          <w:ilvl w:val="0"/>
          <w:numId w:val="1006"/>
        </w:numPr>
      </w:pPr>
      <w:r>
        <w:t xml:space="preserve">Show:</w:t>
      </w:r>
      <w:r>
        <w:t xml:space="preserve"> </w:t>
      </w:r>
      <w:r>
        <w:rPr>
          <w:b/>
          <w:bCs/>
        </w:rPr>
        <w:t xml:space="preserve">clinic branding</w:t>
      </w:r>
      <w:r>
        <w:t xml:space="preserve">, generic line item (</w:t>
      </w:r>
      <w:r>
        <w:t xml:space="preserve">“Prescription Service”</w:t>
      </w:r>
      <w:r>
        <w:t xml:space="preserve"> </w:t>
      </w:r>
      <w:r>
        <w:t xml:space="preserve">— no medication name), $300 total</w:t>
      </w:r>
    </w:p>
    <w:p>
      <w:pPr>
        <w:pStyle w:val="Compact"/>
        <w:numPr>
          <w:ilvl w:val="0"/>
          <w:numId w:val="1006"/>
        </w:numPr>
      </w:pPr>
      <w:r>
        <w:t xml:space="preserve">Pay with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pStyle w:val="Compact"/>
        <w:numPr>
          <w:ilvl w:val="0"/>
          <w:numId w:val="1006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success page</w:t>
      </w:r>
      <w:r>
        <w:t xml:space="preserve">: animated checkmark, order reference</w:t>
      </w:r>
      <w:r>
        <w:t xml:space="preserve"> </w:t>
      </w:r>
      <w:r>
        <w:rPr>
          <w:rStyle w:val="VerbatimChar"/>
        </w:rPr>
        <w:t xml:space="preserve">#xxxxx</w:t>
      </w:r>
      <w:r>
        <w:t xml:space="preserve">,</w:t>
      </w:r>
      <w:r>
        <w:t xml:space="preserve"> </w:t>
      </w:r>
      <w:r>
        <w:t xml:space="preserve">“Within 3–7 business days”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“No login, no app, no account. Tap a link, pay, done. Zero PHI on any screen — Stripe never sees the medication name.”</w:t>
      </w:r>
    </w:p>
    <w:p>
      <w:r>
        <w:pict>
          <v:rect style="width:0;height:1.5pt" o:hralign="center" o:hrstd="t" o:hr="t"/>
        </w:pict>
      </w:r>
    </w:p>
    <w:bookmarkEnd w:id="13"/>
    <w:bookmarkStart w:id="14" w:name="step-4-ops-dashboard-3-min"/>
    <w:p>
      <w:pPr>
        <w:pStyle w:val="Heading3"/>
      </w:pPr>
      <w:r>
        <w:t xml:space="preserve">Step 4 — Ops Dashboard (3 min)</w:t>
      </w:r>
    </w:p>
    <w:p>
      <w:pPr>
        <w:pStyle w:val="Compact"/>
        <w:numPr>
          <w:ilvl w:val="0"/>
          <w:numId w:val="1007"/>
        </w:numPr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pStyle w:val="Compact"/>
        <w:numPr>
          <w:ilvl w:val="0"/>
          <w:numId w:val="1007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pStyle w:val="Compact"/>
        <w:numPr>
          <w:ilvl w:val="0"/>
          <w:numId w:val="1007"/>
        </w:numPr>
      </w:pPr>
      <w:r>
        <w:t xml:space="preserve">Click into the order → show</w:t>
      </w:r>
      <w:r>
        <w:t xml:space="preserve"> </w:t>
      </w:r>
      <w:r>
        <w:rPr>
          <w:b/>
          <w:bCs/>
        </w:rPr>
        <w:t xml:space="preserve">Detail, History, Submissions, SLA tabs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SLA</w:t>
      </w:r>
      <w:r>
        <w:t xml:space="preserve"> </w:t>
      </w:r>
      <w:r>
        <w:t xml:space="preserve">→ show breach tracking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“Every order across every clinic in one view. SLA enforcement runs automatically every 5 minutes. Circuit breakers protect against pharmacy API failures.”</w:t>
      </w:r>
    </w:p>
    <w:p>
      <w:r>
        <w:pict>
          <v:rect style="width:0;height:1.5pt" o:hralign="center" o:hrstd="t" o:hr="t"/>
        </w:pict>
      </w:r>
    </w:p>
    <w:bookmarkEnd w:id="14"/>
    <w:bookmarkStart w:id="15" w:name="step-5-security-demo-1-min"/>
    <w:p>
      <w:pPr>
        <w:pStyle w:val="Heading3"/>
      </w:pPr>
      <w:r>
        <w:t xml:space="preserve">Step 5 — Security Demo (1 min)</w:t>
      </w:r>
    </w:p>
    <w:p>
      <w:pPr>
        <w:pStyle w:val="Compact"/>
        <w:numPr>
          <w:ilvl w:val="0"/>
          <w:numId w:val="1008"/>
        </w:numPr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pStyle w:val="Compact"/>
        <w:numPr>
          <w:ilvl w:val="0"/>
          <w:numId w:val="1008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“Access Denied”</w:t>
      </w:r>
      <w:r>
        <w:t xml:space="preserve"> </w:t>
      </w:r>
      <w:r>
        <w:t xml:space="preserve">— ops can’t see the clinic app</w:t>
      </w:r>
    </w:p>
    <w:p>
      <w:pPr>
        <w:pStyle w:val="Compact"/>
        <w:numPr>
          <w:ilvl w:val="0"/>
          <w:numId w:val="1008"/>
        </w:numPr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pStyle w:val="Compact"/>
        <w:numPr>
          <w:ilvl w:val="0"/>
          <w:numId w:val="1008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“Access Denied”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“Row-Level Security at the database level. Not just UI hiding — the data physically cannot cross boundaries.”</w:t>
      </w:r>
    </w:p>
    <w:p>
      <w:r>
        <w:pict>
          <v:rect style="width:0;height:1.5pt" o:hralign="center" o:hrstd="t" o:hr="t"/>
        </w:pict>
      </w:r>
    </w:p>
    <w:bookmarkEnd w:id="15"/>
    <w:bookmarkStart w:id="16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fax.”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2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Clinic</w:t>
            </w:r>
          </w:p>
        </w:tc>
        <w:tc>
          <w:tcPr/>
          <w:p>
            <w:pPr>
              <w:pStyle w:val="Compact"/>
            </w:pPr>
            <w:r>
              <w:t xml:space="preserve">Sunrise Functional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</w:t>
            </w:r>
          </w:p>
        </w:tc>
        <w:tc>
          <w:tcPr/>
          <w:p>
            <w:pPr>
              <w:pStyle w:val="Compact"/>
            </w:pPr>
            <w:r>
              <w:t xml:space="preserve">Strive Pharmacy (Tier 4 Fax, TX)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Alex Demo (TX)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Medications</w:t>
            </w:r>
          </w:p>
        </w:tc>
        <w:tc>
          <w:tcPr/>
          <w:p>
            <w:pPr>
              <w:pStyle w:val="Compact"/>
            </w:pPr>
            <w:r>
              <w:t xml:space="preserve">Semaglutide, Tirzepatide, Testosterone, Sermorelin, Naltrexone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Test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4242 4242 4242 4242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12/28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123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2026-04-21T17:43:17Z</dcterms:created>
  <dcterms:modified xsi:type="dcterms:W3CDTF">2026-04-21T17:43:17Z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