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Northwind Coffee</w:t>
      </w:r>
    </w:p>
    <w:p>
      <w:pPr>
        <w:pStyle w:val="Heading2"/>
      </w:pPr>
      <w:r>
        <w:t>Q3 2026 review</w:t>
      </w:r>
    </w:p>
    <w:p>
      <w:r>
        <w:drawing>
          <wp:inline xmlns:a="http://schemas.openxmlformats.org/drawingml/2006/main" xmlns:pic="http://schemas.openxmlformats.org/drawingml/2006/picture">
            <wp:extent cx="27432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pho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Bold </w:t>
      </w:r>
      <w:r>
        <w:rPr>
          <w:i/>
        </w:rPr>
        <w:t xml:space="preserve">italic </w:t>
      </w:r>
      <w:r>
        <w:rPr>
          <w:u w:val="single"/>
        </w:rPr>
        <w:t xml:space="preserve">underlined </w:t>
      </w:r>
      <w:r>
        <w:rPr>
          <w:color w:val="C00000"/>
          <w:sz w:val="32"/>
        </w:rPr>
        <w:t>red 16pt</w:t>
      </w:r>
      <w:r>
        <w:t xml:space="preserve"> and plain text.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p>
      <w:pPr>
        <w:pStyle w:val="ListNumber"/>
      </w:pPr>
      <w:r>
        <w:t>Step one</w:t>
      </w:r>
    </w:p>
    <w:p>
      <w:pPr>
        <w:pStyle w:val="ListNumber"/>
      </w:pPr>
      <w:r>
        <w:t>Step two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Region (merged)</w:t>
            </w:r>
          </w:p>
        </w:tc>
        <w:tc>
          <w:tcPr>
            <w:tcW w:type="dxa" w:w="2880"/>
          </w:tcPr>
          <w:p>
            <w:r>
              <w:t>Growth</w:t>
            </w:r>
          </w:p>
        </w:tc>
      </w:tr>
      <w:tr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1284</w:t>
            </w:r>
          </w:p>
        </w:tc>
        <w:tc>
          <w:tcPr>
            <w:tcW w:type="dxa" w:w="2880"/>
          </w:tcPr>
          <w:p>
            <w:r>
              <w:t>12%</w:t>
            </w:r>
          </w:p>
        </w:tc>
      </w:tr>
      <w:tr>
        <w:tc>
          <w:tcPr>
            <w:tcW w:type="dxa" w:w="2880"/>
          </w:tcPr>
          <w:p>
            <w:r>
              <w:t>South</w:t>
            </w:r>
          </w:p>
        </w:tc>
        <w:tc>
          <w:tcPr>
            <w:tcW w:type="dxa" w:w="2880"/>
          </w:tcPr>
          <w:p>
            <w:r>
              <w:t>942</w:t>
            </w:r>
          </w:p>
        </w:tc>
        <w:tc>
          <w:tcPr>
            <w:tcW w:type="dxa" w:w="2880"/>
          </w:tcPr>
          <w:p>
            <w:r>
              <w:t>8%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Two column text, column one.</w:t>
      </w:r>
    </w:p>
    <w:p>
      <w:r>
        <w:t>Still the first column.</w:t>
      </w:r>
    </w:p>
    <w:p>
      <w:r>
        <w:br w:type="page"/>
      </w:r>
    </w:p>
    <w:p>
      <w:r>
        <w:t>After the page break, second column layout.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confidential -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Northwind Coffee - Q3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