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00" w:line="360"/>
        <w:jc w:val="center"/>
      </w:pPr>
      <w:r>
        <w:rPr>
          <w:rFonts w:ascii="Times New Roman" w:cs="Times New Roman" w:eastAsia="Times New Roman" w:hAnsi="Times New Roman"/>
          <w:b/>
          <w:bCs/>
          <w:sz w:val="36"/>
          <w:szCs w:val="36"/>
        </w:rPr>
        <w:t xml:space="preserve">EXPLAINABLE ARTIFICIAL INTELLIGENCE FOR</w:t>
      </w:r>
    </w:p>
    <w:p>
      <w:pPr>
        <w:spacing w:after="300" w:line="360"/>
        <w:jc w:val="center"/>
      </w:pPr>
      <w:r>
        <w:rPr>
          <w:rFonts w:ascii="Times New Roman" w:cs="Times New Roman" w:eastAsia="Times New Roman" w:hAnsi="Times New Roman"/>
          <w:b/>
          <w:bCs/>
          <w:sz w:val="36"/>
          <w:szCs w:val="36"/>
        </w:rPr>
        <w:t xml:space="preserve">AUTOMATED SCORING OF KHMER</w:t>
      </w:r>
    </w:p>
    <w:p>
      <w:pPr>
        <w:spacing w:after="600" w:line="360"/>
        <w:jc w:val="center"/>
      </w:pPr>
      <w:r>
        <w:rPr>
          <w:rFonts w:ascii="Times New Roman" w:cs="Times New Roman" w:eastAsia="Times New Roman" w:hAnsi="Times New Roman"/>
          <w:b/>
          <w:bCs/>
          <w:sz w:val="36"/>
          <w:szCs w:val="36"/>
        </w:rPr>
        <w:t xml:space="preserve">SHORT-ANSWER QUESTIONS</w:t>
      </w:r>
    </w:p>
    <w:p>
      <w:pPr>
        <w:spacing w:after="200"/>
      </w:pPr>
    </w:p>
    <w:p>
      <w:pPr>
        <w:spacing w:after="200"/>
      </w:pPr>
    </w:p>
    <w:p>
      <w:pPr>
        <w:spacing w:after="100" w:line="360"/>
        <w:jc w:val="center"/>
      </w:pPr>
      <w:r>
        <w:rPr>
          <w:rFonts w:ascii="Times New Roman" w:cs="Times New Roman" w:eastAsia="Times New Roman" w:hAnsi="Times New Roman"/>
          <w:i/>
          <w:iCs/>
          <w:sz w:val="24"/>
          <w:szCs w:val="24"/>
        </w:rPr>
        <w:t xml:space="preserve">A Thesis Draft</w:t>
      </w:r>
    </w:p>
    <w:p>
      <w:pPr>
        <w:spacing w:after="100" w:line="360"/>
        <w:jc w:val="center"/>
      </w:pPr>
      <w:r>
        <w:rPr>
          <w:rFonts w:ascii="Times New Roman" w:cs="Times New Roman" w:eastAsia="Times New Roman" w:hAnsi="Times New Roman"/>
          <w:sz w:val="24"/>
          <w:szCs w:val="24"/>
        </w:rPr>
        <w:t xml:space="preserve">Submitted in Partial Fulfillment of the Requirements</w:t>
      </w:r>
    </w:p>
    <w:p>
      <w:pPr>
        <w:spacing w:after="100" w:line="360"/>
        <w:jc w:val="center"/>
      </w:pPr>
      <w:r>
        <w:rPr>
          <w:rFonts w:ascii="Times New Roman" w:cs="Times New Roman" w:eastAsia="Times New Roman" w:hAnsi="Times New Roman"/>
          <w:sz w:val="24"/>
          <w:szCs w:val="24"/>
        </w:rPr>
        <w:t xml:space="preserve">for the Degree of Master of Science</w:t>
      </w:r>
    </w:p>
    <w:p>
      <w:pPr>
        <w:spacing w:after="200"/>
      </w:pPr>
    </w:p>
    <w:p>
      <w:pPr>
        <w:spacing w:after="200"/>
      </w:pPr>
    </w:p>
    <w:p>
      <w:pPr>
        <w:spacing w:after="200"/>
      </w:pPr>
    </w:p>
    <w:p>
      <w:pPr>
        <w:spacing w:after="100" w:line="360"/>
        <w:jc w:val="center"/>
      </w:pPr>
      <w:r>
        <w:rPr>
          <w:rFonts w:ascii="Times New Roman" w:cs="Times New Roman" w:eastAsia="Times New Roman" w:hAnsi="Times New Roman"/>
          <w:sz w:val="24"/>
          <w:szCs w:val="24"/>
        </w:rPr>
        <w:t xml:space="preserve">February 2026</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Automated scoring of short-answer questions is a well-established research area in educational natural language processing (NLP), yet it remains overwhelmingly focused on English and other high-resource languages. The Khmer language, spoken by over 16 million people in Cambodia, has received virtually no attention in automated assessment research despite significant challenges in the country's education system, including teacher shortages and inconsistent grading practices. Simultaneously, the increasing use of complex deep learning models in automated scoring has raised concerns about transparency and trustworthiness, prompting the emergence of Explainable AI (XAI) as a critical requirement for educational applications.</w:t>
      </w:r>
    </w:p>
    <w:p>
      <w:pPr>
        <w:spacing w:after="200" w:line="360"/>
        <w:jc w:val="both"/>
      </w:pPr>
      <w:r>
        <w:rPr>
          <w:rFonts w:ascii="Times New Roman" w:cs="Times New Roman" w:eastAsia="Times New Roman" w:hAnsi="Times New Roman"/>
          <w:sz w:val="24"/>
          <w:szCs w:val="24"/>
        </w:rPr>
        <w:t xml:space="preserve">This thesis proposes KhmerXScore, a novel framework for explainable automated scoring of Khmer short-answer questions. The framework integrates four components: (1) a Khmer text processing pipeline that addresses the unique challenges of Khmer script, including character normalization, word segmentation, and spellchecking; (2) a multilingual scoring model leveraging pre-trained transformer architectures (mBERT, XLM-RoBERTa) enhanced with cross-lingual contrastive learning for writing quality alignment; (3) a dual-layer explainability module combining post-hoc attribution methods (SHAP, Integrated Gradients) with rubric-aligned Chain-of-Thought (CoT) prompting to generate transparent, pedagogically meaningful explanations in Khmer; and (4) the KhmerSAG dataset, the first annotated corpus of Khmer short-answer responses with reference answers, rubric-based scores, and human-annotated justifications.</w:t>
      </w:r>
    </w:p>
    <w:p>
      <w:pPr>
        <w:spacing w:after="200" w:line="360"/>
        <w:jc w:val="both"/>
      </w:pPr>
      <w:r>
        <w:rPr>
          <w:rFonts w:ascii="Times New Roman" w:cs="Times New Roman" w:eastAsia="Times New Roman" w:hAnsi="Times New Roman"/>
          <w:sz w:val="24"/>
          <w:szCs w:val="24"/>
        </w:rPr>
        <w:t xml:space="preserve">The proposed methodology employs a mixed-methods research design combining quantitative evaluation of scoring accuracy using Quadratic Weighted Kappa (QWK), Pearson correlation, and RMSE, with qualitative assessment of explanation quality through human evaluation by Cambodian educators. Anticipated contributions include the first automated scoring system for the Khmer language, a novel integration of XAI techniques adapted for non-Latin low-resource scripts, empirical evidence on cross-lingual scoring transfer to Southeast Asian languages, and a publicly available Khmer educational assessment dataset.</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Explainable AI, Automated Short Answer Grading, Khmer Language Processing, Cross-Lingual NLP, SHAP, Chain-of-Thought Prompting, Transformer Models, Low-Resource Languages</w:t>
      </w:r>
    </w:p>
    <w:p>
      <w:r>
        <w:br w:type="page"/>
      </w:r>
    </w:p>
    <w:p>
      <w:pPr>
        <w:spacing w:after="400" w:line="360"/>
        <w:jc w:val="center"/>
      </w:pPr>
      <w:r>
        <w:rPr>
          <w:rFonts w:ascii="Times New Roman" w:cs="Times New Roman" w:eastAsia="Times New Roman" w:hAnsi="Times New Roman"/>
          <w:b/>
          <w:bCs/>
          <w:sz w:val="28"/>
          <w:szCs w:val="28"/>
        </w:rPr>
        <w:t xml:space="preserve">TABLE OF CONTENTS</w:t>
      </w:r>
    </w:p>
    <w:p>
      <w:pPr>
        <w:spacing w:after="200" w:line="360"/>
        <w:jc w:val="both"/>
      </w:pPr>
      <w:r>
        <w:rPr>
          <w:rFonts w:ascii="Times New Roman" w:cs="Times New Roman" w:eastAsia="Times New Roman" w:hAnsi="Times New Roman"/>
          <w:b/>
          <w:bCs/>
          <w:sz w:val="24"/>
          <w:szCs w:val="24"/>
        </w:rPr>
        <w:t xml:space="preserve">Abstract</w:t>
      </w:r>
    </w:p>
    <w:p>
      <w:pPr>
        <w:spacing w:after="200" w:line="360"/>
        <w:jc w:val="both"/>
      </w:pPr>
      <w:r>
        <w:rPr>
          <w:rFonts w:ascii="Times New Roman" w:cs="Times New Roman" w:eastAsia="Times New Roman" w:hAnsi="Times New Roman"/>
          <w:b/>
          <w:bCs/>
          <w:sz w:val="24"/>
          <w:szCs w:val="24"/>
        </w:rPr>
        <w:t xml:space="preserve">List of Tables</w:t>
      </w:r>
    </w:p>
    <w:p>
      <w:pPr>
        <w:spacing w:after="200" w:line="360"/>
        <w:jc w:val="both"/>
      </w:pPr>
      <w:r>
        <w:rPr>
          <w:rFonts w:ascii="Times New Roman" w:cs="Times New Roman" w:eastAsia="Times New Roman" w:hAnsi="Times New Roman"/>
          <w:b/>
          <w:bCs/>
          <w:sz w:val="24"/>
          <w:szCs w:val="24"/>
        </w:rPr>
        <w:t xml:space="preserve">List of Figures</w:t>
      </w:r>
    </w:p>
    <w:p>
      <w:pPr>
        <w:spacing w:after="200" w:line="360"/>
        <w:jc w:val="both"/>
      </w:pPr>
      <w:r>
        <w:rPr>
          <w:rFonts w:ascii="Times New Roman" w:cs="Times New Roman" w:eastAsia="Times New Roman" w:hAnsi="Times New Roman"/>
          <w:b/>
          <w:bCs/>
          <w:sz w:val="24"/>
          <w:szCs w:val="24"/>
        </w:rPr>
        <w:t xml:space="preserve">Chapter 1: Introduction</w:t>
      </w:r>
    </w:p>
    <w:p>
      <w:pPr>
        <w:spacing w:after="200" w:line="360"/>
        <w:jc w:val="both"/>
      </w:pPr>
      <w:r>
        <w:rPr>
          <w:rFonts w:ascii="Times New Roman" w:cs="Times New Roman" w:eastAsia="Times New Roman" w:hAnsi="Times New Roman"/>
          <w:sz w:val="24"/>
          <w:szCs w:val="24"/>
        </w:rPr>
        <w:t xml:space="preserve">   1.1 Background and Motivation</w:t>
      </w:r>
    </w:p>
    <w:p>
      <w:pPr>
        <w:spacing w:after="200" w:line="360"/>
        <w:jc w:val="both"/>
      </w:pPr>
      <w:r>
        <w:rPr>
          <w:rFonts w:ascii="Times New Roman" w:cs="Times New Roman" w:eastAsia="Times New Roman" w:hAnsi="Times New Roman"/>
          <w:sz w:val="24"/>
          <w:szCs w:val="24"/>
        </w:rPr>
        <w:t xml:space="preserve">   1.2 Problem Statement</w:t>
      </w:r>
    </w:p>
    <w:p>
      <w:pPr>
        <w:spacing w:after="200" w:line="360"/>
        <w:jc w:val="both"/>
      </w:pPr>
      <w:r>
        <w:rPr>
          <w:rFonts w:ascii="Times New Roman" w:cs="Times New Roman" w:eastAsia="Times New Roman" w:hAnsi="Times New Roman"/>
          <w:sz w:val="24"/>
          <w:szCs w:val="24"/>
        </w:rPr>
        <w:t xml:space="preserve">   1.3 Research Questions</w:t>
      </w:r>
    </w:p>
    <w:p>
      <w:pPr>
        <w:spacing w:after="200" w:line="360"/>
        <w:jc w:val="both"/>
      </w:pPr>
      <w:r>
        <w:rPr>
          <w:rFonts w:ascii="Times New Roman" w:cs="Times New Roman" w:eastAsia="Times New Roman" w:hAnsi="Times New Roman"/>
          <w:sz w:val="24"/>
          <w:szCs w:val="24"/>
        </w:rPr>
        <w:t xml:space="preserve">   1.4 Research Objectives</w:t>
      </w:r>
    </w:p>
    <w:p>
      <w:pPr>
        <w:spacing w:after="200" w:line="360"/>
        <w:jc w:val="both"/>
      </w:pPr>
      <w:r>
        <w:rPr>
          <w:rFonts w:ascii="Times New Roman" w:cs="Times New Roman" w:eastAsia="Times New Roman" w:hAnsi="Times New Roman"/>
          <w:sz w:val="24"/>
          <w:szCs w:val="24"/>
        </w:rPr>
        <w:t xml:space="preserve">   1.5 Significance of the Study</w:t>
      </w:r>
    </w:p>
    <w:p>
      <w:pPr>
        <w:spacing w:after="200" w:line="360"/>
        <w:jc w:val="both"/>
      </w:pPr>
      <w:r>
        <w:rPr>
          <w:rFonts w:ascii="Times New Roman" w:cs="Times New Roman" w:eastAsia="Times New Roman" w:hAnsi="Times New Roman"/>
          <w:sz w:val="24"/>
          <w:szCs w:val="24"/>
        </w:rPr>
        <w:t xml:space="preserve">   1.6 Scope and Limitations</w:t>
      </w:r>
    </w:p>
    <w:p>
      <w:pPr>
        <w:spacing w:after="200" w:line="360"/>
        <w:jc w:val="both"/>
      </w:pPr>
      <w:r>
        <w:rPr>
          <w:rFonts w:ascii="Times New Roman" w:cs="Times New Roman" w:eastAsia="Times New Roman" w:hAnsi="Times New Roman"/>
          <w:sz w:val="24"/>
          <w:szCs w:val="24"/>
        </w:rPr>
        <w:t xml:space="preserve">   1.7 Thesis Organization</w:t>
      </w:r>
    </w:p>
    <w:p>
      <w:pPr>
        <w:spacing w:after="200" w:line="360"/>
        <w:jc w:val="both"/>
      </w:pPr>
      <w:r>
        <w:rPr>
          <w:rFonts w:ascii="Times New Roman" w:cs="Times New Roman" w:eastAsia="Times New Roman" w:hAnsi="Times New Roman"/>
          <w:b/>
          <w:bCs/>
          <w:sz w:val="24"/>
          <w:szCs w:val="24"/>
        </w:rPr>
        <w:t xml:space="preserve">Chapter 2: Literature Review</w:t>
      </w:r>
    </w:p>
    <w:p>
      <w:pPr>
        <w:spacing w:after="200" w:line="360"/>
        <w:jc w:val="both"/>
      </w:pPr>
      <w:r>
        <w:rPr>
          <w:rFonts w:ascii="Times New Roman" w:cs="Times New Roman" w:eastAsia="Times New Roman" w:hAnsi="Times New Roman"/>
          <w:sz w:val="24"/>
          <w:szCs w:val="24"/>
        </w:rPr>
        <w:t xml:space="preserve">   2.1 Automated Essay Scoring and Short Answer Grading</w:t>
      </w:r>
    </w:p>
    <w:p>
      <w:pPr>
        <w:spacing w:after="200" w:line="360"/>
        <w:jc w:val="both"/>
      </w:pPr>
      <w:r>
        <w:rPr>
          <w:rFonts w:ascii="Times New Roman" w:cs="Times New Roman" w:eastAsia="Times New Roman" w:hAnsi="Times New Roman"/>
          <w:sz w:val="24"/>
          <w:szCs w:val="24"/>
        </w:rPr>
        <w:t xml:space="preserve">   2.2 Deep Learning and Transformer-Based Approaches</w:t>
      </w:r>
    </w:p>
    <w:p>
      <w:pPr>
        <w:spacing w:after="200" w:line="360"/>
        <w:jc w:val="both"/>
      </w:pPr>
      <w:r>
        <w:rPr>
          <w:rFonts w:ascii="Times New Roman" w:cs="Times New Roman" w:eastAsia="Times New Roman" w:hAnsi="Times New Roman"/>
          <w:sz w:val="24"/>
          <w:szCs w:val="24"/>
        </w:rPr>
        <w:t xml:space="preserve">   2.3 Explainable AI: Concepts, Techniques, and Taxonomies</w:t>
      </w:r>
    </w:p>
    <w:p>
      <w:pPr>
        <w:spacing w:after="200" w:line="360"/>
        <w:jc w:val="both"/>
      </w:pPr>
      <w:r>
        <w:rPr>
          <w:rFonts w:ascii="Times New Roman" w:cs="Times New Roman" w:eastAsia="Times New Roman" w:hAnsi="Times New Roman"/>
          <w:sz w:val="24"/>
          <w:szCs w:val="24"/>
        </w:rPr>
        <w:t xml:space="preserve">   2.4 XAI in Automated Scoring Systems</w:t>
      </w:r>
    </w:p>
    <w:p>
      <w:pPr>
        <w:spacing w:after="200" w:line="360"/>
        <w:jc w:val="both"/>
      </w:pPr>
      <w:r>
        <w:rPr>
          <w:rFonts w:ascii="Times New Roman" w:cs="Times New Roman" w:eastAsia="Times New Roman" w:hAnsi="Times New Roman"/>
          <w:sz w:val="24"/>
          <w:szCs w:val="24"/>
        </w:rPr>
        <w:t xml:space="preserve">   2.5 Cross-Lingual and Low-Resource Language Scoring</w:t>
      </w:r>
    </w:p>
    <w:p>
      <w:pPr>
        <w:spacing w:after="200" w:line="360"/>
        <w:jc w:val="both"/>
      </w:pPr>
      <w:r>
        <w:rPr>
          <w:rFonts w:ascii="Times New Roman" w:cs="Times New Roman" w:eastAsia="Times New Roman" w:hAnsi="Times New Roman"/>
          <w:sz w:val="24"/>
          <w:szCs w:val="24"/>
        </w:rPr>
        <w:t xml:space="preserve">   2.6 Khmer Language Processing</w:t>
      </w:r>
    </w:p>
    <w:p>
      <w:pPr>
        <w:spacing w:after="200" w:line="360"/>
        <w:jc w:val="both"/>
      </w:pPr>
      <w:r>
        <w:rPr>
          <w:rFonts w:ascii="Times New Roman" w:cs="Times New Roman" w:eastAsia="Times New Roman" w:hAnsi="Times New Roman"/>
          <w:sz w:val="24"/>
          <w:szCs w:val="24"/>
        </w:rPr>
        <w:t xml:space="preserve">   2.7 Research Gaps</w:t>
      </w:r>
    </w:p>
    <w:p>
      <w:pPr>
        <w:spacing w:after="200" w:line="360"/>
        <w:jc w:val="both"/>
      </w:pPr>
      <w:r>
        <w:rPr>
          <w:rFonts w:ascii="Times New Roman" w:cs="Times New Roman" w:eastAsia="Times New Roman" w:hAnsi="Times New Roman"/>
          <w:b/>
          <w:bCs/>
          <w:sz w:val="24"/>
          <w:szCs w:val="24"/>
        </w:rPr>
        <w:t xml:space="preserve">Chapter 3: Research Methodology</w:t>
      </w:r>
    </w:p>
    <w:p>
      <w:pPr>
        <w:spacing w:after="200" w:line="360"/>
        <w:jc w:val="both"/>
      </w:pPr>
      <w:r>
        <w:rPr>
          <w:rFonts w:ascii="Times New Roman" w:cs="Times New Roman" w:eastAsia="Times New Roman" w:hAnsi="Times New Roman"/>
          <w:sz w:val="24"/>
          <w:szCs w:val="24"/>
        </w:rPr>
        <w:t xml:space="preserve">   3.1 Research Design</w:t>
      </w:r>
    </w:p>
    <w:p>
      <w:pPr>
        <w:spacing w:after="200" w:line="360"/>
        <w:jc w:val="both"/>
      </w:pPr>
      <w:r>
        <w:rPr>
          <w:rFonts w:ascii="Times New Roman" w:cs="Times New Roman" w:eastAsia="Times New Roman" w:hAnsi="Times New Roman"/>
          <w:sz w:val="24"/>
          <w:szCs w:val="24"/>
        </w:rPr>
        <w:t xml:space="preserve">   3.2 Proposed Framework: KhmerXScore</w:t>
      </w:r>
    </w:p>
    <w:p>
      <w:pPr>
        <w:spacing w:after="200" w:line="360"/>
        <w:jc w:val="both"/>
      </w:pPr>
      <w:r>
        <w:rPr>
          <w:rFonts w:ascii="Times New Roman" w:cs="Times New Roman" w:eastAsia="Times New Roman" w:hAnsi="Times New Roman"/>
          <w:sz w:val="24"/>
          <w:szCs w:val="24"/>
        </w:rPr>
        <w:t xml:space="preserve">   3.3 Dataset Construction</w:t>
      </w:r>
    </w:p>
    <w:p>
      <w:pPr>
        <w:spacing w:after="200" w:line="360"/>
        <w:jc w:val="both"/>
      </w:pPr>
      <w:r>
        <w:rPr>
          <w:rFonts w:ascii="Times New Roman" w:cs="Times New Roman" w:eastAsia="Times New Roman" w:hAnsi="Times New Roman"/>
          <w:sz w:val="24"/>
          <w:szCs w:val="24"/>
        </w:rPr>
        <w:t xml:space="preserve">   3.4 Model Architecture</w:t>
      </w:r>
    </w:p>
    <w:p>
      <w:pPr>
        <w:spacing w:after="200" w:line="360"/>
        <w:jc w:val="both"/>
      </w:pPr>
      <w:r>
        <w:rPr>
          <w:rFonts w:ascii="Times New Roman" w:cs="Times New Roman" w:eastAsia="Times New Roman" w:hAnsi="Times New Roman"/>
          <w:sz w:val="24"/>
          <w:szCs w:val="24"/>
        </w:rPr>
        <w:t xml:space="preserve">   3.5 Explainability Module</w:t>
      </w:r>
    </w:p>
    <w:p>
      <w:pPr>
        <w:spacing w:after="200" w:line="360"/>
        <w:jc w:val="both"/>
      </w:pPr>
      <w:r>
        <w:rPr>
          <w:rFonts w:ascii="Times New Roman" w:cs="Times New Roman" w:eastAsia="Times New Roman" w:hAnsi="Times New Roman"/>
          <w:sz w:val="24"/>
          <w:szCs w:val="24"/>
        </w:rPr>
        <w:t xml:space="preserve">   3.6 Evaluation Methodology</w:t>
      </w:r>
    </w:p>
    <w:p>
      <w:pPr>
        <w:spacing w:after="200" w:line="360"/>
        <w:jc w:val="both"/>
      </w:pPr>
      <w:r>
        <w:rPr>
          <w:rFonts w:ascii="Times New Roman" w:cs="Times New Roman" w:eastAsia="Times New Roman" w:hAnsi="Times New Roman"/>
          <w:sz w:val="24"/>
          <w:szCs w:val="24"/>
        </w:rPr>
        <w:t xml:space="preserve">   3.7 Ethical Considerations</w:t>
      </w:r>
    </w:p>
    <w:p>
      <w:pPr>
        <w:spacing w:after="200" w:line="360"/>
        <w:jc w:val="both"/>
      </w:pPr>
      <w:r>
        <w:rPr>
          <w:rFonts w:ascii="Times New Roman" w:cs="Times New Roman" w:eastAsia="Times New Roman" w:hAnsi="Times New Roman"/>
          <w:b/>
          <w:bCs/>
          <w:sz w:val="24"/>
          <w:szCs w:val="24"/>
        </w:rPr>
        <w:t xml:space="preserve">Chapter 4: System Design and Implementation</w:t>
      </w:r>
    </w:p>
    <w:p>
      <w:pPr>
        <w:spacing w:after="200" w:line="360"/>
        <w:jc w:val="both"/>
      </w:pPr>
      <w:r>
        <w:rPr>
          <w:rFonts w:ascii="Times New Roman" w:cs="Times New Roman" w:eastAsia="Times New Roman" w:hAnsi="Times New Roman"/>
          <w:sz w:val="24"/>
          <w:szCs w:val="24"/>
        </w:rPr>
        <w:t xml:space="preserve">   4.1 System Architecture Overview</w:t>
      </w:r>
    </w:p>
    <w:p>
      <w:pPr>
        <w:spacing w:after="200" w:line="360"/>
        <w:jc w:val="both"/>
      </w:pPr>
      <w:r>
        <w:rPr>
          <w:rFonts w:ascii="Times New Roman" w:cs="Times New Roman" w:eastAsia="Times New Roman" w:hAnsi="Times New Roman"/>
          <w:sz w:val="24"/>
          <w:szCs w:val="24"/>
        </w:rPr>
        <w:t xml:space="preserve">   4.2 Khmer Text Processing Pipeline</w:t>
      </w:r>
    </w:p>
    <w:p>
      <w:pPr>
        <w:spacing w:after="200" w:line="360"/>
        <w:jc w:val="both"/>
      </w:pPr>
      <w:r>
        <w:rPr>
          <w:rFonts w:ascii="Times New Roman" w:cs="Times New Roman" w:eastAsia="Times New Roman" w:hAnsi="Times New Roman"/>
          <w:sz w:val="24"/>
          <w:szCs w:val="24"/>
        </w:rPr>
        <w:t xml:space="preserve">   4.3 Scoring Model Implementation</w:t>
      </w:r>
    </w:p>
    <w:p>
      <w:pPr>
        <w:spacing w:after="200" w:line="360"/>
        <w:jc w:val="both"/>
      </w:pPr>
      <w:r>
        <w:rPr>
          <w:rFonts w:ascii="Times New Roman" w:cs="Times New Roman" w:eastAsia="Times New Roman" w:hAnsi="Times New Roman"/>
          <w:sz w:val="24"/>
          <w:szCs w:val="24"/>
        </w:rPr>
        <w:t xml:space="preserve">   4.4 Explainability Module Implementation</w:t>
      </w:r>
    </w:p>
    <w:p>
      <w:pPr>
        <w:spacing w:after="200" w:line="360"/>
        <w:jc w:val="both"/>
      </w:pPr>
      <w:r>
        <w:rPr>
          <w:rFonts w:ascii="Times New Roman" w:cs="Times New Roman" w:eastAsia="Times New Roman" w:hAnsi="Times New Roman"/>
          <w:sz w:val="24"/>
          <w:szCs w:val="24"/>
        </w:rPr>
        <w:t xml:space="preserve">   4.5 Web Interface Design</w:t>
      </w:r>
    </w:p>
    <w:p>
      <w:pPr>
        <w:spacing w:after="200" w:line="360"/>
        <w:jc w:val="both"/>
      </w:pPr>
      <w:r>
        <w:rPr>
          <w:rFonts w:ascii="Times New Roman" w:cs="Times New Roman" w:eastAsia="Times New Roman" w:hAnsi="Times New Roman"/>
          <w:b/>
          <w:bCs/>
          <w:sz w:val="24"/>
          <w:szCs w:val="24"/>
        </w:rPr>
        <w:t xml:space="preserve">Chapter 5: Expected Results and Analysis</w:t>
      </w:r>
    </w:p>
    <w:p>
      <w:pPr>
        <w:spacing w:after="200" w:line="360"/>
        <w:jc w:val="both"/>
      </w:pPr>
      <w:r>
        <w:rPr>
          <w:rFonts w:ascii="Times New Roman" w:cs="Times New Roman" w:eastAsia="Times New Roman" w:hAnsi="Times New Roman"/>
          <w:sz w:val="24"/>
          <w:szCs w:val="24"/>
        </w:rPr>
        <w:t xml:space="preserve">   5.1 Scoring Performance Evaluation</w:t>
      </w:r>
    </w:p>
    <w:p>
      <w:pPr>
        <w:spacing w:after="200" w:line="360"/>
        <w:jc w:val="both"/>
      </w:pPr>
      <w:r>
        <w:rPr>
          <w:rFonts w:ascii="Times New Roman" w:cs="Times New Roman" w:eastAsia="Times New Roman" w:hAnsi="Times New Roman"/>
          <w:sz w:val="24"/>
          <w:szCs w:val="24"/>
        </w:rPr>
        <w:t xml:space="preserve">   5.2 Explainability Evaluation</w:t>
      </w:r>
    </w:p>
    <w:p>
      <w:pPr>
        <w:spacing w:after="200" w:line="360"/>
        <w:jc w:val="both"/>
      </w:pPr>
      <w:r>
        <w:rPr>
          <w:rFonts w:ascii="Times New Roman" w:cs="Times New Roman" w:eastAsia="Times New Roman" w:hAnsi="Times New Roman"/>
          <w:sz w:val="24"/>
          <w:szCs w:val="24"/>
        </w:rPr>
        <w:t xml:space="preserve">   5.3 Cross-Lingual Transfer Analysis</w:t>
      </w:r>
    </w:p>
    <w:p>
      <w:pPr>
        <w:spacing w:after="200" w:line="360"/>
        <w:jc w:val="both"/>
      </w:pPr>
      <w:r>
        <w:rPr>
          <w:rFonts w:ascii="Times New Roman" w:cs="Times New Roman" w:eastAsia="Times New Roman" w:hAnsi="Times New Roman"/>
          <w:sz w:val="24"/>
          <w:szCs w:val="24"/>
        </w:rPr>
        <w:t xml:space="preserve">   5.4 Comparison with Baselines</w:t>
      </w:r>
    </w:p>
    <w:p>
      <w:pPr>
        <w:spacing w:after="200" w:line="360"/>
        <w:jc w:val="both"/>
      </w:pPr>
      <w:r>
        <w:rPr>
          <w:rFonts w:ascii="Times New Roman" w:cs="Times New Roman" w:eastAsia="Times New Roman" w:hAnsi="Times New Roman"/>
          <w:sz w:val="24"/>
          <w:szCs w:val="24"/>
        </w:rPr>
        <w:t xml:space="preserve">   5.5 Human Evaluation</w:t>
      </w:r>
    </w:p>
    <w:p>
      <w:pPr>
        <w:spacing w:after="200" w:line="360"/>
        <w:jc w:val="both"/>
      </w:pPr>
      <w:r>
        <w:rPr>
          <w:rFonts w:ascii="Times New Roman" w:cs="Times New Roman" w:eastAsia="Times New Roman" w:hAnsi="Times New Roman"/>
          <w:b/>
          <w:bCs/>
          <w:sz w:val="24"/>
          <w:szCs w:val="24"/>
        </w:rPr>
        <w:t xml:space="preserve">Chapter 6: Discussion</w:t>
      </w:r>
    </w:p>
    <w:p>
      <w:pPr>
        <w:spacing w:after="200" w:line="360"/>
        <w:jc w:val="both"/>
      </w:pPr>
      <w:r>
        <w:rPr>
          <w:rFonts w:ascii="Times New Roman" w:cs="Times New Roman" w:eastAsia="Times New Roman" w:hAnsi="Times New Roman"/>
          <w:b/>
          <w:bCs/>
          <w:sz w:val="24"/>
          <w:szCs w:val="24"/>
        </w:rPr>
        <w:t xml:space="preserve">Chapter 7: Conclusion and Future Work</w:t>
      </w:r>
    </w:p>
    <w:p>
      <w:pPr>
        <w:spacing w:after="200" w:line="360"/>
        <w:jc w:val="both"/>
      </w:pPr>
      <w:r>
        <w:rPr>
          <w:rFonts w:ascii="Times New Roman" w:cs="Times New Roman" w:eastAsia="Times New Roman" w:hAnsi="Times New Roman"/>
          <w:b/>
          <w:bCs/>
          <w:sz w:val="24"/>
          <w:szCs w:val="24"/>
        </w:rPr>
        <w:t xml:space="preserve">References</w:t>
      </w:r>
    </w:p>
    <w:p>
      <w:pPr>
        <w:spacing w:after="200" w:line="360"/>
        <w:jc w:val="both"/>
      </w:pPr>
      <w:r>
        <w:rPr>
          <w:rFonts w:ascii="Times New Roman" w:cs="Times New Roman" w:eastAsia="Times New Roman" w:hAnsi="Times New Roman"/>
          <w:b/>
          <w:bCs/>
          <w:sz w:val="24"/>
          <w:szCs w:val="24"/>
        </w:rPr>
        <w:t xml:space="preserve">Appendices</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1: Introduction</w:t>
      </w:r>
    </w:p>
    <w:p>
      <w:pPr>
        <w:pStyle w:val="Heading2"/>
        <w:spacing w:before="280" w:after="200" w:line="360"/>
        <w:jc w:val="left"/>
      </w:pPr>
      <w:r>
        <w:rPr>
          <w:rFonts w:ascii="Times New Roman" w:cs="Times New Roman" w:eastAsia="Times New Roman" w:hAnsi="Times New Roman"/>
          <w:b/>
          <w:bCs/>
          <w:sz w:val="26"/>
          <w:szCs w:val="26"/>
        </w:rPr>
        <w:t xml:space="preserve">1.1 Background and Motivation</w:t>
      </w:r>
    </w:p>
    <w:p>
      <w:pPr>
        <w:spacing w:after="200" w:line="360"/>
        <w:jc w:val="both"/>
      </w:pPr>
      <w:r>
        <w:rPr>
          <w:rFonts w:ascii="Times New Roman" w:cs="Times New Roman" w:eastAsia="Times New Roman" w:hAnsi="Times New Roman"/>
          <w:sz w:val="24"/>
          <w:szCs w:val="24"/>
        </w:rPr>
        <w:t xml:space="preserve">Assessment is a foundational pillar of education, serving as the primary mechanism for measuring learning outcomes, guiding instructional decisions, and shaping students' academic trajectories. Among assessment formats, short-answer questions hold particular value because they evaluate higher-order cognitive abilities such as analysis, reasoning, and synthesis that cannot be captured by multiple-choice items, which are limited to assessing recognition and recall (Burrows et al., 2015). However, the manual grading of short-answer responses is an inherently labor-intensive, time-consuming, and subjective process. Even well-trained graders can exhibit cognitive biases that lead to inconsistent scoring outcomes (Lachana, 2025; Delbosc, 2023).</w:t>
      </w:r>
    </w:p>
    <w:p>
      <w:pPr>
        <w:spacing w:after="200" w:line="360"/>
        <w:jc w:val="both"/>
      </w:pPr>
      <w:r>
        <w:rPr>
          <w:rFonts w:ascii="Times New Roman" w:cs="Times New Roman" w:eastAsia="Times New Roman" w:hAnsi="Times New Roman"/>
          <w:sz w:val="24"/>
          <w:szCs w:val="24"/>
        </w:rPr>
        <w:t xml:space="preserve">Cambodia's education system faces these challenges acutely. The country has experienced rapid growth in student enrollment, yet teacher shortages persist, with Dutch-like conditions where teachers in upper secondary education work significantly more hours than international averages. The need for scalable, reliable assessment tools is therefore urgent. At the same time, Khmer digital content has been growing rapidly across platforms, creating both the opportunity and the necessity for computational tools that can process and evaluate Khmer text effectively (Thuon, 2024).</w:t>
      </w:r>
    </w:p>
    <w:p>
      <w:pPr>
        <w:spacing w:after="200" w:line="360"/>
        <w:jc w:val="both"/>
      </w:pPr>
      <w:r>
        <w:rPr>
          <w:rFonts w:ascii="Times New Roman" w:cs="Times New Roman" w:eastAsia="Times New Roman" w:hAnsi="Times New Roman"/>
          <w:sz w:val="24"/>
          <w:szCs w:val="24"/>
        </w:rPr>
        <w:t xml:space="preserve">Automated Essay Scoring (AES) and Automatic Short Answer Grading (ASAG) systems have been developed to address these assessment challenges. The field has progressed from early statistical methods using surface-level features (Page, 1966; Foltz et al., 1999) through machine learning approaches to modern deep learning and transformer-based models that achieve near-human scoring accuracy for English (Devlin et al., 2019; Kumar &amp; Boulanger, 2020). However, these advances have predominantly benefited English and a handful of other high-resource languages, leaving languages like Khmer entirely unaddressed (Del Gobbo et al., 2023).</w:t>
      </w:r>
    </w:p>
    <w:p>
      <w:pPr>
        <w:spacing w:after="200" w:line="360"/>
        <w:jc w:val="both"/>
      </w:pPr>
      <w:r>
        <w:rPr>
          <w:rFonts w:ascii="Times New Roman" w:cs="Times New Roman" w:eastAsia="Times New Roman" w:hAnsi="Times New Roman"/>
          <w:sz w:val="24"/>
          <w:szCs w:val="24"/>
        </w:rPr>
        <w:t xml:space="preserve">A parallel concern has emerged regarding the transparency of automated scoring systems. As models become more complex, particularly those based on deep neural networks and large language models (LLMs), their decision-making processes become increasingly opaque. This black-box nature is particularly problematic in educational contexts, where fairness, accountability, and trust are essential (Belle &amp; Papantonis, 2021; Arrieta et al., 2020). Students need to understand why they received a particular score to learn from the assessment, and educators need to trust and verify the system's decisions. Explainable AI (XAI) has emerged as a field addressing these concerns, offering techniques to make AI systems more transparent, interpretable, and trustworthy.</w:t>
      </w:r>
    </w:p>
    <w:p>
      <w:pPr>
        <w:pStyle w:val="Heading2"/>
        <w:spacing w:before="280" w:after="200" w:line="360"/>
        <w:jc w:val="left"/>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sz w:val="24"/>
          <w:szCs w:val="24"/>
        </w:rPr>
        <w:t xml:space="preserve">Despite significant advances in automated scoring research, three critical problems remain unresolved. First, there exists no automated scoring system for the Khmer language, leaving Cambodia's education system without access to the benefits that such technology could provide. Second, most existing ASAG systems for non-English languages operate as black boxes, providing scores without any explanation of their reasoning, which limits their pedagogical value and educator trust. Third, the intersection of XAI and automated scoring for low-resource languages with non-Latin scripts has not been explored, despite the unique challenges and opportunities this combination presents.</w:t>
      </w:r>
    </w:p>
    <w:p>
      <w:pPr>
        <w:spacing w:after="200" w:line="360"/>
        <w:jc w:val="both"/>
      </w:pPr>
      <w:r>
        <w:rPr>
          <w:rFonts w:ascii="Times New Roman" w:cs="Times New Roman" w:eastAsia="Times New Roman" w:hAnsi="Times New Roman"/>
          <w:sz w:val="24"/>
          <w:szCs w:val="24"/>
        </w:rPr>
        <w:t xml:space="preserve">The Khmer language presents particular technical challenges for NLP, including a complex abugida script with stacked consonants, context-dependent character rendering, absence of word boundaries, limited annotated corpora, and inadequate support from major NLP tools and search engines (Buoy et al., 2021; Thuon, 2024). These challenges mean that techniques proven effective for English cannot simply be transferred to Khmer without significant adaptation.</w:t>
      </w:r>
    </w:p>
    <w:p>
      <w:pPr>
        <w:pStyle w:val="Heading2"/>
        <w:spacing w:before="280" w:after="200" w:line="360"/>
        <w:jc w:val="left"/>
      </w:pPr>
      <w:r>
        <w:rPr>
          <w:rFonts w:ascii="Times New Roman" w:cs="Times New Roman" w:eastAsia="Times New Roman" w:hAnsi="Times New Roman"/>
          <w:b/>
          <w:bCs/>
          <w:sz w:val="26"/>
          <w:szCs w:val="26"/>
        </w:rPr>
        <w:t xml:space="preserve">1.3 Research Questions</w:t>
      </w:r>
    </w:p>
    <w:p>
      <w:pPr>
        <w:spacing w:after="200" w:line="360"/>
        <w:jc w:val="both"/>
      </w:pPr>
      <w:r>
        <w:rPr>
          <w:rFonts w:ascii="Times New Roman" w:cs="Times New Roman" w:eastAsia="Times New Roman" w:hAnsi="Times New Roman"/>
          <w:sz w:val="24"/>
          <w:szCs w:val="24"/>
        </w:rPr>
        <w:t xml:space="preserve">This thesis addresses the following research questions:</w:t>
      </w:r>
    </w:p>
    <w:p>
      <w:pPr>
        <w:spacing w:after="200" w:line="36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How can multilingual pre-trained language models be effectively adapted for automated scoring of Khmer short-answer questions, given the unique characteristics of the Khmer script and the scarcity of task-specific training data?</w:t>
      </w:r>
    </w:p>
    <w:p>
      <w:pPr>
        <w:spacing w:after="200" w:line="36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What XAI techniques are most effective for generating transparent, rubric-aligned explanations for automated scoring decisions in Khmer, and how do they compare in terms of plausibility and faithfulness?</w:t>
      </w:r>
    </w:p>
    <w:p>
      <w:pPr>
        <w:spacing w:after="200" w:line="36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To what extent can cross-lingual scoring knowledge be transferred from high-resource languages to Khmer using multilingual representations and quality alignment strategies?</w:t>
      </w:r>
    </w:p>
    <w:p>
      <w:pPr>
        <w:spacing w:after="200" w:line="360"/>
        <w:jc w:val="both"/>
      </w:pPr>
      <w:r>
        <w:rPr>
          <w:rFonts w:ascii="Times New Roman" w:cs="Times New Roman" w:eastAsia="Times New Roman" w:hAnsi="Times New Roman"/>
          <w:b/>
          <w:bCs/>
          <w:sz w:val="24"/>
          <w:szCs w:val="24"/>
        </w:rPr>
        <w:t xml:space="preserve">RQ4: </w:t>
      </w:r>
      <w:r>
        <w:rPr>
          <w:rFonts w:ascii="Times New Roman" w:cs="Times New Roman" w:eastAsia="Times New Roman" w:hAnsi="Times New Roman"/>
          <w:sz w:val="24"/>
          <w:szCs w:val="24"/>
        </w:rPr>
        <w:t xml:space="preserve">How do Cambodian educators perceive the explainability, trustworthiness, and pedagogical value of an XAI-enhanced automated scoring system for Khmer short-answer questions?</w:t>
      </w:r>
    </w:p>
    <w:p>
      <w:pPr>
        <w:pStyle w:val="Heading2"/>
        <w:spacing w:before="280" w:after="200" w:line="360"/>
        <w:jc w:val="left"/>
      </w:pPr>
      <w:r>
        <w:rPr>
          <w:rFonts w:ascii="Times New Roman" w:cs="Times New Roman" w:eastAsia="Times New Roman" w:hAnsi="Times New Roman"/>
          <w:b/>
          <w:bCs/>
          <w:sz w:val="26"/>
          <w:szCs w:val="26"/>
        </w:rPr>
        <w:t xml:space="preserve">1.4 Research Objectives</w:t>
      </w:r>
    </w:p>
    <w:p>
      <w:pPr>
        <w:spacing w:after="200" w:line="360"/>
        <w:jc w:val="both"/>
      </w:pPr>
      <w:r>
        <w:rPr>
          <w:rFonts w:ascii="Times New Roman" w:cs="Times New Roman" w:eastAsia="Times New Roman" w:hAnsi="Times New Roman"/>
          <w:sz w:val="24"/>
          <w:szCs w:val="24"/>
        </w:rPr>
        <w:t xml:space="preserve">The objectives of this thesis are:</w:t>
      </w:r>
    </w:p>
    <w:p>
      <w:pPr>
        <w:spacing w:after="200" w:line="360"/>
        <w:jc w:val="both"/>
      </w:pPr>
      <w:r>
        <w:rPr>
          <w:rFonts w:ascii="Times New Roman" w:cs="Times New Roman" w:eastAsia="Times New Roman" w:hAnsi="Times New Roman"/>
          <w:sz w:val="24"/>
          <w:szCs w:val="24"/>
        </w:rPr>
        <w:t xml:space="preserve">(1) To develop a Khmer text processing pipeline that addresses script-specific challenges including character normalization, word segmentation, and spellchecking for educational text.</w:t>
      </w:r>
    </w:p>
    <w:p>
      <w:pPr>
        <w:spacing w:after="200" w:line="360"/>
        <w:jc w:val="both"/>
      </w:pPr>
      <w:r>
        <w:rPr>
          <w:rFonts w:ascii="Times New Roman" w:cs="Times New Roman" w:eastAsia="Times New Roman" w:hAnsi="Times New Roman"/>
          <w:sz w:val="24"/>
          <w:szCs w:val="24"/>
        </w:rPr>
        <w:t xml:space="preserve">(2) To design and implement a scoring model based on multilingual transformers, enhanced with cross-lingual contrastive learning, capable of accurately scoring Khmer short-answer responses.</w:t>
      </w:r>
    </w:p>
    <w:p>
      <w:pPr>
        <w:spacing w:after="200" w:line="360"/>
        <w:jc w:val="both"/>
      </w:pPr>
      <w:r>
        <w:rPr>
          <w:rFonts w:ascii="Times New Roman" w:cs="Times New Roman" w:eastAsia="Times New Roman" w:hAnsi="Times New Roman"/>
          <w:sz w:val="24"/>
          <w:szCs w:val="24"/>
        </w:rPr>
        <w:t xml:space="preserve">(3) To integrate a dual-layer explainability module combining post-hoc attribution methods (SHAP, Integrated Gradients) with rubric-aligned Chain-of-Thought prompting to produce transparent, pedagogically meaningful explanations.</w:t>
      </w:r>
    </w:p>
    <w:p>
      <w:pPr>
        <w:spacing w:after="200" w:line="360"/>
        <w:jc w:val="both"/>
      </w:pPr>
      <w:r>
        <w:rPr>
          <w:rFonts w:ascii="Times New Roman" w:cs="Times New Roman" w:eastAsia="Times New Roman" w:hAnsi="Times New Roman"/>
          <w:sz w:val="24"/>
          <w:szCs w:val="24"/>
        </w:rPr>
        <w:t xml:space="preserve">(4) To construct and publicly release the KhmerSAG dataset, the first annotated corpus of Khmer short-answer responses for educational assessment research.</w:t>
      </w:r>
    </w:p>
    <w:p>
      <w:pPr>
        <w:spacing w:after="200" w:line="360"/>
        <w:jc w:val="both"/>
      </w:pPr>
      <w:r>
        <w:rPr>
          <w:rFonts w:ascii="Times New Roman" w:cs="Times New Roman" w:eastAsia="Times New Roman" w:hAnsi="Times New Roman"/>
          <w:sz w:val="24"/>
          <w:szCs w:val="24"/>
        </w:rPr>
        <w:t xml:space="preserve">(5) To evaluate the system comprehensively using both quantitative metrics (QWK, Pearson correlation, RMSE) and qualitative assessment by Cambodian educators.</w:t>
      </w:r>
    </w:p>
    <w:p>
      <w:pPr>
        <w:pStyle w:val="Heading2"/>
        <w:spacing w:before="280" w:after="200" w:line="360"/>
        <w:jc w:val="left"/>
      </w:pPr>
      <w:r>
        <w:rPr>
          <w:rFonts w:ascii="Times New Roman" w:cs="Times New Roman" w:eastAsia="Times New Roman" w:hAnsi="Times New Roman"/>
          <w:b/>
          <w:bCs/>
          <w:sz w:val="26"/>
          <w:szCs w:val="26"/>
        </w:rPr>
        <w:t xml:space="preserve">1.5 Significance of the Study</w:t>
      </w:r>
    </w:p>
    <w:p>
      <w:pPr>
        <w:spacing w:after="200" w:line="360"/>
        <w:jc w:val="both"/>
      </w:pPr>
      <w:r>
        <w:rPr>
          <w:rFonts w:ascii="Times New Roman" w:cs="Times New Roman" w:eastAsia="Times New Roman" w:hAnsi="Times New Roman"/>
          <w:sz w:val="24"/>
          <w:szCs w:val="24"/>
        </w:rPr>
        <w:t xml:space="preserve">This study makes contributions to multiple research areas. From an NLP perspective, it represents the first application of automated scoring technology to the Khmer language, demonstrating the feasibility of adapting modern NLP techniques for an under-resourced Southeast Asian language with a complex non-Latin script. From an XAI perspective, it extends the application of explainability techniques beyond English-centric contexts, investigating how post-hoc and intrinsic explanation methods perform for languages with fundamentally different morphological and syntactic structures. From an educational perspective, it provides a practical tool that could help address Cambodia's assessment challenges while ensuring that the system's decisions are transparent and trustworthy. The creation of the KhmerSAG dataset contributes a publicly available resource that can catalyze further research in Khmer educational NLP.</w:t>
      </w:r>
    </w:p>
    <w:p>
      <w:pPr>
        <w:pStyle w:val="Heading2"/>
        <w:spacing w:before="280" w:after="200" w:line="360"/>
        <w:jc w:val="left"/>
      </w:pPr>
      <w:r>
        <w:rPr>
          <w:rFonts w:ascii="Times New Roman" w:cs="Times New Roman" w:eastAsia="Times New Roman" w:hAnsi="Times New Roman"/>
          <w:b/>
          <w:bCs/>
          <w:sz w:val="26"/>
          <w:szCs w:val="26"/>
        </w:rPr>
        <w:t xml:space="preserve">1.6 Scope and Limitations</w:t>
      </w:r>
    </w:p>
    <w:p>
      <w:pPr>
        <w:spacing w:after="200" w:line="360"/>
        <w:jc w:val="both"/>
      </w:pPr>
      <w:r>
        <w:rPr>
          <w:rFonts w:ascii="Times New Roman" w:cs="Times New Roman" w:eastAsia="Times New Roman" w:hAnsi="Times New Roman"/>
          <w:sz w:val="24"/>
          <w:szCs w:val="24"/>
        </w:rPr>
        <w:t xml:space="preserve">This thesis focuses specifically on short-answer questions (responses of 1-3 sentences) in the Khmer language, drawn from secondary and tertiary education contexts in Cambodia. The study evaluates content-based scoring (correctness relative to reference answers) rather than writing quality assessment. The initial dataset covers subjects including Khmer language, social studies, and science. The study acknowledges several limitations: the dataset, while novel, will be relatively small compared to English benchmarks; the cross-lingual transfer experiments are constrained by the availability of multilingual essay datasets; and the human evaluation is limited to a sample of Cambodian educators from selected institutions.</w:t>
      </w:r>
    </w:p>
    <w:p>
      <w:pPr>
        <w:pStyle w:val="Heading2"/>
        <w:spacing w:before="280" w:after="200" w:line="360"/>
        <w:jc w:val="left"/>
      </w:pPr>
      <w:r>
        <w:rPr>
          <w:rFonts w:ascii="Times New Roman" w:cs="Times New Roman" w:eastAsia="Times New Roman" w:hAnsi="Times New Roman"/>
          <w:b/>
          <w:bCs/>
          <w:sz w:val="26"/>
          <w:szCs w:val="26"/>
        </w:rPr>
        <w:t xml:space="preserve">1.7 Thesis Organization</w:t>
      </w:r>
    </w:p>
    <w:p>
      <w:pPr>
        <w:spacing w:after="200" w:line="360"/>
        <w:jc w:val="both"/>
      </w:pPr>
      <w:r>
        <w:rPr>
          <w:rFonts w:ascii="Times New Roman" w:cs="Times New Roman" w:eastAsia="Times New Roman" w:hAnsi="Times New Roman"/>
          <w:sz w:val="24"/>
          <w:szCs w:val="24"/>
        </w:rPr>
        <w:t xml:space="preserve">The remainder of this thesis is organized as follows. Chapter 2 presents a comprehensive literature review covering automated scoring, XAI, cross-lingual NLP, and Khmer language processing. Chapter 3 details the research methodology, including the proposed KhmerXScore framework, dataset construction procedures, and evaluation design. Chapter 4 describes the system design and implementation. Chapter 5 presents the expected results and analysis plan. Chapter 6 discusses the findings in relation to the research questions and broader implications. Chapter 7 concludes with a summary of contributions, limitations, and directions for future work.</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2: Literature Review</w:t>
      </w:r>
    </w:p>
    <w:p>
      <w:pPr>
        <w:pStyle w:val="Heading2"/>
        <w:spacing w:before="280" w:after="200" w:line="360"/>
        <w:jc w:val="left"/>
      </w:pPr>
      <w:r>
        <w:rPr>
          <w:rFonts w:ascii="Times New Roman" w:cs="Times New Roman" w:eastAsia="Times New Roman" w:hAnsi="Times New Roman"/>
          <w:b/>
          <w:bCs/>
          <w:sz w:val="26"/>
          <w:szCs w:val="26"/>
        </w:rPr>
        <w:t xml:space="preserve">2.1 Automated Essay Scoring and Short Answer Grading</w:t>
      </w:r>
    </w:p>
    <w:p>
      <w:pPr>
        <w:spacing w:before="240" w:after="160" w:line="360"/>
        <w:jc w:val="left"/>
      </w:pPr>
      <w:r>
        <w:rPr>
          <w:rFonts w:ascii="Times New Roman" w:cs="Times New Roman" w:eastAsia="Times New Roman" w:hAnsi="Times New Roman"/>
          <w:b/>
          <w:bCs/>
          <w:i/>
          <w:iCs/>
          <w:sz w:val="24"/>
          <w:szCs w:val="24"/>
        </w:rPr>
        <w:t xml:space="preserve">2.1.1 Historical Development</w:t>
      </w:r>
    </w:p>
    <w:p>
      <w:pPr>
        <w:spacing w:after="200" w:line="360"/>
        <w:jc w:val="both"/>
      </w:pPr>
      <w:r>
        <w:rPr>
          <w:rFonts w:ascii="Times New Roman" w:cs="Times New Roman" w:eastAsia="Times New Roman" w:hAnsi="Times New Roman"/>
          <w:sz w:val="24"/>
          <w:szCs w:val="24"/>
        </w:rPr>
        <w:t xml:space="preserve">The field of automated scoring began with Page's (1966) Project Essay Grader (PEG), which used surface-level linguistic features to predict essay scores. Foltz et al. (1999) introduced the Intelligent Essay Assessor (IEA) using Latent Semantic Analysis (LSA) to capture meaning-level relationships. The e-rater system (Attali &amp; Burstein, 2006) incorporated syntactic, discourse, and topical features for holistic assessment. These early systems established the viability of computational scoring but were limited to surface features and English.</w:t>
      </w:r>
    </w:p>
    <w:p>
      <w:pPr>
        <w:spacing w:before="240" w:after="160" w:line="360"/>
        <w:jc w:val="left"/>
      </w:pPr>
      <w:r>
        <w:rPr>
          <w:rFonts w:ascii="Times New Roman" w:cs="Times New Roman" w:eastAsia="Times New Roman" w:hAnsi="Times New Roman"/>
          <w:b/>
          <w:bCs/>
          <w:i/>
          <w:iCs/>
          <w:sz w:val="24"/>
          <w:szCs w:val="24"/>
        </w:rPr>
        <w:t xml:space="preserve">2.1.2 Automatic Short Answer Grading (ASAG)</w:t>
      </w:r>
    </w:p>
    <w:p>
      <w:pPr>
        <w:spacing w:after="200" w:line="360"/>
        <w:jc w:val="both"/>
      </w:pPr>
      <w:r>
        <w:rPr>
          <w:rFonts w:ascii="Times New Roman" w:cs="Times New Roman" w:eastAsia="Times New Roman" w:hAnsi="Times New Roman"/>
          <w:sz w:val="24"/>
          <w:szCs w:val="24"/>
        </w:rPr>
        <w:t xml:space="preserve">ASAG is distinguished from AES by its focus on brief constructed responses evaluated against reference answers for content correctness rather than writing quality (Burrows et al., 2015). Methods fall into two categories: text-similarity approaches that compute similarity between student and model answers using syntactic and semantic features, and AI-driven approaches using machine learning and deep learning (Alqurashi et al., 2025). Hassan et al. (2018) demonstrated the effectiveness of paragraph embeddings for ASAG. Pribadi et al. (2018) proposed geometric average normalized-longest common subsequence methods. Tulu et al. (2021) employed MaLSTM with sense vectors, demonstrating promising results.</w:t>
      </w:r>
    </w:p>
    <w:p>
      <w:pPr>
        <w:spacing w:before="240" w:after="160" w:line="360"/>
        <w:jc w:val="left"/>
      </w:pPr>
      <w:r>
        <w:rPr>
          <w:rFonts w:ascii="Times New Roman" w:cs="Times New Roman" w:eastAsia="Times New Roman" w:hAnsi="Times New Roman"/>
          <w:b/>
          <w:bCs/>
          <w:i/>
          <w:iCs/>
          <w:sz w:val="24"/>
          <w:szCs w:val="24"/>
        </w:rPr>
        <w:t xml:space="preserve">2.1.3 Evaluation Metrics</w:t>
      </w:r>
    </w:p>
    <w:p>
      <w:pPr>
        <w:spacing w:after="200" w:line="360"/>
        <w:jc w:val="both"/>
      </w:pPr>
      <w:r>
        <w:rPr>
          <w:rFonts w:ascii="Times New Roman" w:cs="Times New Roman" w:eastAsia="Times New Roman" w:hAnsi="Times New Roman"/>
          <w:sz w:val="24"/>
          <w:szCs w:val="24"/>
        </w:rPr>
        <w:t xml:space="preserve">The systematic review by the ICEIS 2025 proceedings identified the evaluation metrics most commonly used in automated scoring research. Quadratic Weighted Kappa (QWK) is the predominant metric, used in 42.11% of studies, measuring agreement between automated and human scores while penalizing larger deviations more severely (Landis &amp; Koch, 1977). Accuracy follows at 36.84%, with Cohen's Kappa and F1-Score each at 26.32%. Pearson Correlation (21.05%) measures linear relationship strength, while RMSE (15.79%) quantifies average prediction error magnitude. Following Landis and Koch (1977), QWK values are interpreted as: 0.00-0.20 (slight), 0.21-0.40 (fair), 0.41-0.60 (moderate), 0.61-0.80 (substantial), and 0.81-1.00 (almost perfect) agreement.</w:t>
      </w:r>
    </w:p>
    <w:p>
      <w:pPr>
        <w:pStyle w:val="Heading2"/>
        <w:spacing w:before="280" w:after="200" w:line="360"/>
        <w:jc w:val="left"/>
      </w:pPr>
      <w:r>
        <w:rPr>
          <w:rFonts w:ascii="Times New Roman" w:cs="Times New Roman" w:eastAsia="Times New Roman" w:hAnsi="Times New Roman"/>
          <w:b/>
          <w:bCs/>
          <w:sz w:val="26"/>
          <w:szCs w:val="26"/>
        </w:rPr>
        <w:t xml:space="preserve">2.2 Deep Learning and Transformer-Based Approaches</w:t>
      </w:r>
    </w:p>
    <w:p>
      <w:pPr>
        <w:spacing w:before="240" w:after="160" w:line="360"/>
        <w:jc w:val="left"/>
      </w:pPr>
      <w:r>
        <w:rPr>
          <w:rFonts w:ascii="Times New Roman" w:cs="Times New Roman" w:eastAsia="Times New Roman" w:hAnsi="Times New Roman"/>
          <w:b/>
          <w:bCs/>
          <w:i/>
          <w:iCs/>
          <w:sz w:val="24"/>
          <w:szCs w:val="24"/>
        </w:rPr>
        <w:t xml:space="preserve">2.2.1 Neural Architectures for Scoring</w:t>
      </w:r>
    </w:p>
    <w:p>
      <w:pPr>
        <w:spacing w:after="200" w:line="360"/>
        <w:jc w:val="both"/>
      </w:pPr>
      <w:r>
        <w:rPr>
          <w:rFonts w:ascii="Times New Roman" w:cs="Times New Roman" w:eastAsia="Times New Roman" w:hAnsi="Times New Roman"/>
          <w:sz w:val="24"/>
          <w:szCs w:val="24"/>
        </w:rPr>
        <w:t xml:space="preserve">Deep learning has transformed automated scoring. Riordan et al. (2017) investigated CNNs and LSTMs for short answer scoring. Liang et al. (2018) proposed Siamese Bidirectional LSTM architectures. Gong and Yao (2019) introduced attention mechanisms for focusing on relevant response parts. George et al. (2019) applied deep learning to descriptive answer grading. Rajagede and Hastuti (2021) explored stacking models with XGBoost, achieving F1-scores of 0.821. The BERT model (Devlin et al., 2019) marked a paradigm shift, with subsequent work confirming transformer superiority across scoring tasks.</w:t>
      </w:r>
    </w:p>
    <w:p>
      <w:pPr>
        <w:spacing w:before="240" w:after="160" w:line="360"/>
        <w:jc w:val="left"/>
      </w:pPr>
      <w:r>
        <w:rPr>
          <w:rFonts w:ascii="Times New Roman" w:cs="Times New Roman" w:eastAsia="Times New Roman" w:hAnsi="Times New Roman"/>
          <w:b/>
          <w:bCs/>
          <w:i/>
          <w:iCs/>
          <w:sz w:val="24"/>
          <w:szCs w:val="24"/>
        </w:rPr>
        <w:t xml:space="preserve">2.2.2 Embedding Techniques</w:t>
      </w:r>
    </w:p>
    <w:p>
      <w:pPr>
        <w:spacing w:after="200" w:line="360"/>
        <w:jc w:val="both"/>
      </w:pPr>
      <w:r>
        <w:rPr>
          <w:rFonts w:ascii="Times New Roman" w:cs="Times New Roman" w:eastAsia="Times New Roman" w:hAnsi="Times New Roman"/>
          <w:sz w:val="24"/>
          <w:szCs w:val="24"/>
        </w:rPr>
        <w:t xml:space="preserve">Text representation has evolved from Word2Vec (Mikolov et al., 2013) and GloVe (Pennington et al., 2014) through FastText (Bojanowski et al., 2017) to contextual embeddings from transformers. The Universal Sentence Encoder (Cer et al., 2018) and Sentence-BERT (Reimers &amp; Gurevych, 2019) provide sentence-level representations particularly useful for ASAG. Alqurashi et al. (2025) demonstrated that combining BERT with these embedding techniques yields Pearson correlations from 0.811 to 0.923 for Arabic ASAG.</w:t>
      </w:r>
    </w:p>
    <w:p>
      <w:pPr>
        <w:spacing w:before="240" w:after="160" w:line="360"/>
        <w:jc w:val="left"/>
      </w:pPr>
      <w:r>
        <w:rPr>
          <w:rFonts w:ascii="Times New Roman" w:cs="Times New Roman" w:eastAsia="Times New Roman" w:hAnsi="Times New Roman"/>
          <w:b/>
          <w:bCs/>
          <w:i/>
          <w:iCs/>
          <w:sz w:val="24"/>
          <w:szCs w:val="24"/>
        </w:rPr>
        <w:t xml:space="preserve">2.2.3 Large Language Models in Assessment</w:t>
      </w:r>
    </w:p>
    <w:p>
      <w:pPr>
        <w:spacing w:after="200" w:line="360"/>
        <w:jc w:val="both"/>
      </w:pPr>
      <w:r>
        <w:rPr>
          <w:rFonts w:ascii="Times New Roman" w:cs="Times New Roman" w:eastAsia="Times New Roman" w:hAnsi="Times New Roman"/>
          <w:sz w:val="24"/>
          <w:szCs w:val="24"/>
        </w:rPr>
        <w:t xml:space="preserve">LLMs have opened new possibilities. Xu et al. (2025) proposed QwenScore+, integrating rubric-aware CoT prompting with RLHF, outperforming BERT, GPT-3.5, and GPT-4 in feedback generation. Their results showed QWK values reaching 0.6814 for coherence and cohesion traits. Lachana (2025) found GPT-4o competitive with fine-tuned transformers for Dutch scoring, particularly with structured prompting. Chen and Wan demonstrated that scaffolded CoT prompting for physics achieves 70-80% human agreement, with 20-30% accuracy gains over conventional approaches.</w:t>
      </w:r>
    </w:p>
    <w:p>
      <w:pPr>
        <w:pStyle w:val="Heading2"/>
        <w:spacing w:before="280" w:after="200" w:line="360"/>
        <w:jc w:val="left"/>
      </w:pPr>
      <w:r>
        <w:rPr>
          <w:rFonts w:ascii="Times New Roman" w:cs="Times New Roman" w:eastAsia="Times New Roman" w:hAnsi="Times New Roman"/>
          <w:b/>
          <w:bCs/>
          <w:sz w:val="26"/>
          <w:szCs w:val="26"/>
        </w:rPr>
        <w:t xml:space="preserve">2.3 Explainable AI: Concepts, Techniques, and Taxonomies</w:t>
      </w:r>
    </w:p>
    <w:p>
      <w:pPr>
        <w:spacing w:before="240" w:after="160" w:line="360"/>
        <w:jc w:val="left"/>
      </w:pPr>
      <w:r>
        <w:rPr>
          <w:rFonts w:ascii="Times New Roman" w:cs="Times New Roman" w:eastAsia="Times New Roman" w:hAnsi="Times New Roman"/>
          <w:b/>
          <w:bCs/>
          <w:i/>
          <w:iCs/>
          <w:sz w:val="24"/>
          <w:szCs w:val="24"/>
        </w:rPr>
        <w:t xml:space="preserve">2.3.1 Foundations and Principles</w:t>
      </w:r>
    </w:p>
    <w:p>
      <w:pPr>
        <w:spacing w:after="200" w:line="360"/>
        <w:jc w:val="both"/>
      </w:pPr>
      <w:r>
        <w:rPr>
          <w:rFonts w:ascii="Times New Roman" w:cs="Times New Roman" w:eastAsia="Times New Roman" w:hAnsi="Times New Roman"/>
          <w:sz w:val="24"/>
          <w:szCs w:val="24"/>
        </w:rPr>
        <w:t xml:space="preserve">XAI encompasses methods making AI systems transparent and trustworthy (Arrieta et al., 2020). Adadi and Berrada (2018) surveyed the field, distinguishing transparency, interpretability, and explainability. The NIST framework identifies four principles: explanation, meaningfulness, accuracy, and knowledge limits. Doshi-Velez and Kim (2017) defined interpretability as the ability to explain AI systems in human-understandable terms, a definition with over 5,000 citations. However, a recent analysis of over 18,000 XAI papers found only 0.7% performed human evaluation to support interpretability claims, highlighting a critical gap between technical development and empirical validation.</w:t>
      </w:r>
    </w:p>
    <w:p>
      <w:pPr>
        <w:spacing w:before="240" w:after="160" w:line="360"/>
        <w:jc w:val="left"/>
      </w:pPr>
      <w:r>
        <w:rPr>
          <w:rFonts w:ascii="Times New Roman" w:cs="Times New Roman" w:eastAsia="Times New Roman" w:hAnsi="Times New Roman"/>
          <w:b/>
          <w:bCs/>
          <w:i/>
          <w:iCs/>
          <w:sz w:val="24"/>
          <w:szCs w:val="24"/>
        </w:rPr>
        <w:t xml:space="preserve">2.3.2 Post-Hoc Methods: SHAP and LIME</w:t>
      </w:r>
    </w:p>
    <w:p>
      <w:pPr>
        <w:spacing w:after="200" w:line="360"/>
        <w:jc w:val="both"/>
      </w:pPr>
      <w:r>
        <w:rPr>
          <w:rFonts w:ascii="Times New Roman" w:cs="Times New Roman" w:eastAsia="Times New Roman" w:hAnsi="Times New Roman"/>
          <w:sz w:val="24"/>
          <w:szCs w:val="24"/>
        </w:rPr>
        <w:t xml:space="preserve">SHAP (Lundberg &amp; Lee, 2017) uses cooperative game theory to assign feature importance values, satisfying three desirable properties: local accuracy, missingness, and consistency. Kumar and Boulanger (2020) showed that SHAP proves superior to LIME, Shapley values, and DeepLIFT for AES because it uniquely satisfies all three properties. LIME (Ribeiro et al., 2016) approximates complex models locally with simpler models. Both generate token-level attributions visualizable as color-coded highlights (Lachana, 2025). Integrated Gradients accumulate gradients along a path from a baseline to the input, providing theoretically grounded attributions that satisfy axioms of sensitivity and implementation invariance.</w:t>
      </w:r>
    </w:p>
    <w:p>
      <w:pPr>
        <w:spacing w:before="240" w:after="160" w:line="360"/>
        <w:jc w:val="left"/>
      </w:pPr>
      <w:r>
        <w:rPr>
          <w:rFonts w:ascii="Times New Roman" w:cs="Times New Roman" w:eastAsia="Times New Roman" w:hAnsi="Times New Roman"/>
          <w:b/>
          <w:bCs/>
          <w:i/>
          <w:iCs/>
          <w:sz w:val="24"/>
          <w:szCs w:val="24"/>
        </w:rPr>
        <w:t xml:space="preserve">2.3.3 Chain-of-Thought Prompting as Explainability</w:t>
      </w:r>
    </w:p>
    <w:p>
      <w:pPr>
        <w:spacing w:after="200" w:line="360"/>
        <w:jc w:val="both"/>
      </w:pPr>
      <w:r>
        <w:rPr>
          <w:rFonts w:ascii="Times New Roman" w:cs="Times New Roman" w:eastAsia="Times New Roman" w:hAnsi="Times New Roman"/>
          <w:sz w:val="24"/>
          <w:szCs w:val="24"/>
        </w:rPr>
        <w:t xml:space="preserve">CoT prompting (Wei et al., 2022) enables LLMs to decompose reasoning into intermediate steps. Xu et al. (2025) applied rubric-aligned CoT where the model generates trait-specific reasoning aligned with scoring rubrics, producing both scores and structured explanations. This represents a shift from post-hoc to built-in explainability. The algorithm processes each essay through tokenization, feedback generation per dimension, comparison with band descriptors, and confidence-based re-evaluation, storing reasoning steps alongside final scores.</w:t>
      </w:r>
    </w:p>
    <w:p>
      <w:pPr>
        <w:pStyle w:val="Heading2"/>
        <w:spacing w:before="280" w:after="200" w:line="360"/>
        <w:jc w:val="left"/>
      </w:pPr>
      <w:r>
        <w:rPr>
          <w:rFonts w:ascii="Times New Roman" w:cs="Times New Roman" w:eastAsia="Times New Roman" w:hAnsi="Times New Roman"/>
          <w:b/>
          <w:bCs/>
          <w:sz w:val="26"/>
          <w:szCs w:val="26"/>
        </w:rPr>
        <w:t xml:space="preserve">2.4 XAI in Automated Scoring Systems</w:t>
      </w:r>
    </w:p>
    <w:p>
      <w:pPr>
        <w:spacing w:before="240" w:after="160" w:line="360"/>
        <w:jc w:val="left"/>
      </w:pPr>
      <w:r>
        <w:rPr>
          <w:rFonts w:ascii="Times New Roman" w:cs="Times New Roman" w:eastAsia="Times New Roman" w:hAnsi="Times New Roman"/>
          <w:b/>
          <w:bCs/>
          <w:i/>
          <w:iCs/>
          <w:sz w:val="24"/>
          <w:szCs w:val="24"/>
        </w:rPr>
        <w:t xml:space="preserve">2.4.1 SHAP for Automated Essay Scoring</w:t>
      </w:r>
    </w:p>
    <w:p>
      <w:pPr>
        <w:spacing w:after="200" w:line="360"/>
        <w:jc w:val="both"/>
      </w:pPr>
      <w:r>
        <w:rPr>
          <w:rFonts w:ascii="Times New Roman" w:cs="Times New Roman" w:eastAsia="Times New Roman" w:hAnsi="Times New Roman"/>
          <w:sz w:val="24"/>
          <w:szCs w:val="24"/>
        </w:rPr>
        <w:t xml:space="preserve">Kumar and Boulanger (2020) demonstrated XAI's applicability in AES using 1,592 linguistic indices measuring text cohesion, lexical diversity, and syntactic complexity. They found that adding hidden layers to neural networks increased SHAP descriptive accuracy by approximately 10%, and faster implementations (DeepSHAP, GradientSHAP) were as accurate as slower KernelSHAP. Their work showed both local explanations (decision plots for individual essays) and global explanations (summary plots across essay sets), and introduced a feedback model for quantifying writing improvement impact.</w:t>
      </w:r>
    </w:p>
    <w:p>
      <w:pPr>
        <w:spacing w:before="240" w:after="160" w:line="360"/>
        <w:jc w:val="left"/>
      </w:pPr>
      <w:r>
        <w:rPr>
          <w:rFonts w:ascii="Times New Roman" w:cs="Times New Roman" w:eastAsia="Times New Roman" w:hAnsi="Times New Roman"/>
          <w:b/>
          <w:bCs/>
          <w:i/>
          <w:iCs/>
          <w:sz w:val="24"/>
          <w:szCs w:val="24"/>
        </w:rPr>
        <w:t xml:space="preserve">2.4.2 Explainable ASAG Frameworks</w:t>
      </w:r>
    </w:p>
    <w:p>
      <w:pPr>
        <w:spacing w:after="200" w:line="360"/>
        <w:jc w:val="both"/>
      </w:pPr>
      <w:r>
        <w:rPr>
          <w:rFonts w:ascii="Times New Roman" w:cs="Times New Roman" w:eastAsia="Times New Roman" w:hAnsi="Times New Roman"/>
          <w:sz w:val="24"/>
          <w:szCs w:val="24"/>
        </w:rPr>
        <w:t xml:space="preserve">Tornqvist et al. (2023) introduced ExASAG, integrating SHAP and Integrated Gradients for ASAG with evaluation against human-annotated justifications using Intersection-over-Union. Kunnecke et al. (2024) proposed a neuro-symbolic pipeline using weakly supervised transformers for justification cue detection with interpretable symbolic models, improving RMSE by 0.24-0.3. Condor et al. (2024) experimented with Neural Additive Models combining neural network performance with additive model explainability, guided by Knowledge Integration frameworks from learning sciences.</w:t>
      </w:r>
    </w:p>
    <w:p>
      <w:pPr>
        <w:spacing w:before="240" w:after="160" w:line="360"/>
        <w:jc w:val="left"/>
      </w:pPr>
      <w:r>
        <w:rPr>
          <w:rFonts w:ascii="Times New Roman" w:cs="Times New Roman" w:eastAsia="Times New Roman" w:hAnsi="Times New Roman"/>
          <w:b/>
          <w:bCs/>
          <w:i/>
          <w:iCs/>
          <w:sz w:val="24"/>
          <w:szCs w:val="24"/>
        </w:rPr>
        <w:t xml:space="preserve">2.4.3 Multi-Aspect and Rubric-Aligned Explainability</w:t>
      </w:r>
    </w:p>
    <w:p>
      <w:pPr>
        <w:spacing w:after="200" w:line="360"/>
        <w:jc w:val="both"/>
      </w:pPr>
      <w:r>
        <w:rPr>
          <w:rFonts w:ascii="Times New Roman" w:cs="Times New Roman" w:eastAsia="Times New Roman" w:hAnsi="Times New Roman"/>
          <w:sz w:val="24"/>
          <w:szCs w:val="24"/>
        </w:rPr>
        <w:t xml:space="preserve">Lachana (2025) developed multi-aspect scoring for Dutch responses across content, language, and presentation, with SHAP confirming RobBERT's rubric-aligned decision-making. RobBERT achieved QWK of 0.658 on mixed test sets and 0.602 on held-out sets, with human inter-rater QWK of 0.874 as upper bound. Fiacco et al. (2023) aligned transformer model components with human-understandable feature groups tied to rubric criteria. Alqurashi et al. (2025) employed Transformer-Interpret for Arabic ASAG, achieving one of the few systems integrating both accuracy and transparency for a non-English language.</w:t>
      </w:r>
    </w:p>
    <w:p>
      <w:pPr>
        <w:pStyle w:val="Heading2"/>
        <w:spacing w:before="280" w:after="200" w:line="360"/>
        <w:jc w:val="left"/>
      </w:pPr>
      <w:r>
        <w:rPr>
          <w:rFonts w:ascii="Times New Roman" w:cs="Times New Roman" w:eastAsia="Times New Roman" w:hAnsi="Times New Roman"/>
          <w:b/>
          <w:bCs/>
          <w:sz w:val="26"/>
          <w:szCs w:val="26"/>
        </w:rPr>
        <w:t xml:space="preserve">2.5 Cross-Lingual and Low-Resource Language Scoring</w:t>
      </w:r>
    </w:p>
    <w:p>
      <w:pPr>
        <w:spacing w:before="240" w:after="160" w:line="360"/>
        <w:jc w:val="left"/>
      </w:pPr>
      <w:r>
        <w:rPr>
          <w:rFonts w:ascii="Times New Roman" w:cs="Times New Roman" w:eastAsia="Times New Roman" w:hAnsi="Times New Roman"/>
          <w:b/>
          <w:bCs/>
          <w:i/>
          <w:iCs/>
          <w:sz w:val="24"/>
          <w:szCs w:val="24"/>
        </w:rPr>
        <w:t xml:space="preserve">2.5.1 Zero-Shot Cross-Lingual AES</w:t>
      </w:r>
    </w:p>
    <w:p>
      <w:pPr>
        <w:spacing w:after="200" w:line="360"/>
        <w:jc w:val="both"/>
      </w:pPr>
      <w:r>
        <w:rPr>
          <w:rFonts w:ascii="Times New Roman" w:cs="Times New Roman" w:eastAsia="Times New Roman" w:hAnsi="Times New Roman"/>
          <w:sz w:val="24"/>
          <w:szCs w:val="24"/>
        </w:rPr>
        <w:t xml:space="preserve">Li and He (2024) proposed zero-shot cross-lingual scoring using multilingual PLMs with cross-lingual contrastive learning (XCL). Evaluated on six languages (Czech, German, English, Spanish, Italian, Portuguese), their mBERT-uncased + XCL achieved average QWK of 0.568, outperforming statistical baselines (0.548) and neural baselines (0.481). Visualization showed that contrastive learning clusters essays by quality regardless of language. They found that lower-casing essays improves cross-lingual performance and that language similarity does not necessarily predict scoring transfer effectiveness.</w:t>
      </w:r>
    </w:p>
    <w:p>
      <w:pPr>
        <w:spacing w:before="240" w:after="160" w:line="360"/>
        <w:jc w:val="left"/>
      </w:pPr>
      <w:r>
        <w:rPr>
          <w:rFonts w:ascii="Times New Roman" w:cs="Times New Roman" w:eastAsia="Times New Roman" w:hAnsi="Times New Roman"/>
          <w:b/>
          <w:bCs/>
          <w:i/>
          <w:iCs/>
          <w:sz w:val="24"/>
          <w:szCs w:val="24"/>
        </w:rPr>
        <w:t xml:space="preserve">2.5.2 Multilingual Models for Non-English Scoring</w:t>
      </w:r>
    </w:p>
    <w:p>
      <w:pPr>
        <w:spacing w:after="200" w:line="360"/>
        <w:jc w:val="both"/>
      </w:pPr>
      <w:r>
        <w:rPr>
          <w:rFonts w:ascii="Times New Roman" w:cs="Times New Roman" w:eastAsia="Times New Roman" w:hAnsi="Times New Roman"/>
          <w:sz w:val="24"/>
          <w:szCs w:val="24"/>
        </w:rPr>
        <w:t xml:space="preserve">Firoozi et al. (2024) demonstrated mBERT and LaBSE effectiveness for German, Italian, and Czech scoring. Lachana (2025) compared Dutch-specific (RobBERT, BERTje) and multilingual models (mBERT, XLM-RoBERTa), finding RobBERT superior for language aspects but multilingual models competitive for content. Suriyasat et al. (2023) compared ML and neural algorithms for Thai AES. Research on Finnish ASAG with ChatGPT showed GPT-4 achieving acceptable QWK in 44% of one-shot settings.</w:t>
      </w:r>
    </w:p>
    <w:p>
      <w:pPr>
        <w:pStyle w:val="Heading2"/>
        <w:spacing w:before="280" w:after="200" w:line="360"/>
        <w:jc w:val="left"/>
      </w:pPr>
      <w:r>
        <w:rPr>
          <w:rFonts w:ascii="Times New Roman" w:cs="Times New Roman" w:eastAsia="Times New Roman" w:hAnsi="Times New Roman"/>
          <w:b/>
          <w:bCs/>
          <w:sz w:val="26"/>
          <w:szCs w:val="26"/>
        </w:rPr>
        <w:t xml:space="preserve">2.6 Khmer Language Processing</w:t>
      </w:r>
    </w:p>
    <w:p>
      <w:pPr>
        <w:spacing w:before="240" w:after="160" w:line="360"/>
        <w:jc w:val="left"/>
      </w:pPr>
      <w:r>
        <w:rPr>
          <w:rFonts w:ascii="Times New Roman" w:cs="Times New Roman" w:eastAsia="Times New Roman" w:hAnsi="Times New Roman"/>
          <w:b/>
          <w:bCs/>
          <w:i/>
          <w:iCs/>
          <w:sz w:val="24"/>
          <w:szCs w:val="24"/>
        </w:rPr>
        <w:t xml:space="preserve">2.6.1 Script Complexity and NLP Challenges</w:t>
      </w:r>
    </w:p>
    <w:p>
      <w:pPr>
        <w:spacing w:after="200" w:line="360"/>
        <w:jc w:val="both"/>
      </w:pPr>
      <w:r>
        <w:rPr>
          <w:rFonts w:ascii="Times New Roman" w:cs="Times New Roman" w:eastAsia="Times New Roman" w:hAnsi="Times New Roman"/>
          <w:sz w:val="24"/>
          <w:szCs w:val="24"/>
        </w:rPr>
        <w:t xml:space="preserve">Khmer is an abugida where up to two consonants can be stacked below a base consonant. Dependent vowels position around consonants in five directions. Multiple character orderings produce identical visual rendering, creating severe search and matching problems. Buoy et al. (2021) documented that Google search results for identical Khmer words vary from 23,000 to 5 million depending on character sequences. No word boundaries exist, requiring explicit segmentation. Limited annotated resources and NLP tools compound these challenges.</w:t>
      </w:r>
    </w:p>
    <w:p>
      <w:pPr>
        <w:spacing w:before="240" w:after="160" w:line="360"/>
        <w:jc w:val="left"/>
      </w:pPr>
      <w:r>
        <w:rPr>
          <w:rFonts w:ascii="Times New Roman" w:cs="Times New Roman" w:eastAsia="Times New Roman" w:hAnsi="Times New Roman"/>
          <w:b/>
          <w:bCs/>
          <w:i/>
          <w:iCs/>
          <w:sz w:val="24"/>
          <w:szCs w:val="24"/>
        </w:rPr>
        <w:t xml:space="preserve">2.6.2 Current Advances</w:t>
      </w:r>
    </w:p>
    <w:p>
      <w:pPr>
        <w:spacing w:after="200" w:line="360"/>
        <w:jc w:val="both"/>
      </w:pPr>
      <w:r>
        <w:rPr>
          <w:rFonts w:ascii="Times New Roman" w:cs="Times New Roman" w:eastAsia="Times New Roman" w:hAnsi="Times New Roman"/>
          <w:sz w:val="24"/>
          <w:szCs w:val="24"/>
        </w:rPr>
        <w:t xml:space="preserve">Key advances include: the Khmer Semantic Search Engine (KSE) achieving F1-score of 0.75 using TF-IDF and semantic matching (Thuon, 2024); holistic spellchecking combining word segmentation, NER, and Llama-based language models trained on 300K articles; word embedding models trained on 30-million-word corpora (Buoy et al., 2021); and dense retrieval using multilingual models like mGTE for document embedding. These provide essential building blocks for automated scoring.</w:t>
      </w:r>
    </w:p>
    <w:p>
      <w:pPr>
        <w:pStyle w:val="Heading2"/>
        <w:spacing w:before="280" w:after="200" w:line="360"/>
        <w:jc w:val="left"/>
      </w:pPr>
      <w:r>
        <w:rPr>
          <w:rFonts w:ascii="Times New Roman" w:cs="Times New Roman" w:eastAsia="Times New Roman" w:hAnsi="Times New Roman"/>
          <w:b/>
          <w:bCs/>
          <w:sz w:val="26"/>
          <w:szCs w:val="26"/>
        </w:rPr>
        <w:t xml:space="preserve">2.7 Research Gaps</w:t>
      </w:r>
    </w:p>
    <w:p>
      <w:pPr>
        <w:spacing w:after="200" w:line="360"/>
        <w:jc w:val="both"/>
      </w:pPr>
      <w:r>
        <w:rPr>
          <w:rFonts w:ascii="Times New Roman" w:cs="Times New Roman" w:eastAsia="Times New Roman" w:hAnsi="Times New Roman"/>
          <w:sz w:val="24"/>
          <w:szCs w:val="24"/>
        </w:rPr>
        <w:t xml:space="preserve">The literature reveals five critical gaps: (1) no automated scoring system for Khmer exists; (2) XAI integration in non-English ASAG is limited to Arabic and Dutch; (3) cross-lingual scoring transfer to Southeast Asian non-Latin scripts is untested; (4) no Khmer educational assessment datasets are available; and (5) rubric-aligned explainability for low-resource languages is unexplored. This thesis addresses all five gaps through the proposed KhmerXScore framework.</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3: Research Methodology</w:t>
      </w:r>
    </w:p>
    <w:p>
      <w:pPr>
        <w:pStyle w:val="Heading2"/>
        <w:spacing w:before="280" w:after="200" w:line="360"/>
        <w:jc w:val="left"/>
      </w:pPr>
      <w:r>
        <w:rPr>
          <w:rFonts w:ascii="Times New Roman" w:cs="Times New Roman" w:eastAsia="Times New Roman" w:hAnsi="Times New Roman"/>
          <w:b/>
          <w:bCs/>
          <w:sz w:val="26"/>
          <w:szCs w:val="26"/>
        </w:rPr>
        <w:t xml:space="preserve">3.1 Research Design</w:t>
      </w:r>
    </w:p>
    <w:p>
      <w:pPr>
        <w:spacing w:after="200" w:line="360"/>
        <w:jc w:val="both"/>
      </w:pPr>
      <w:r>
        <w:rPr>
          <w:rFonts w:ascii="Times New Roman" w:cs="Times New Roman" w:eastAsia="Times New Roman" w:hAnsi="Times New Roman"/>
          <w:sz w:val="24"/>
          <w:szCs w:val="24"/>
        </w:rPr>
        <w:t xml:space="preserve">This study adopts a mixed-methods research design combining design science methodology for system development with empirical evaluation. The design science component follows an iterative build-evaluate cycle for the KhmerXScore framework. The empirical component includes quantitative evaluation of scoring accuracy and explanation quality using established metrics, and qualitative evaluation through educator interviews and surveys. This approach aligns with methodologies employed in comparable studies (Lachana, 2025; Alqurashi et al., 2025; Kumar &amp; Boulanger, 2020).</w:t>
      </w:r>
    </w:p>
    <w:p>
      <w:pPr>
        <w:pStyle w:val="Heading2"/>
        <w:spacing w:before="280" w:after="200" w:line="360"/>
        <w:jc w:val="left"/>
      </w:pPr>
      <w:r>
        <w:rPr>
          <w:rFonts w:ascii="Times New Roman" w:cs="Times New Roman" w:eastAsia="Times New Roman" w:hAnsi="Times New Roman"/>
          <w:b/>
          <w:bCs/>
          <w:sz w:val="26"/>
          <w:szCs w:val="26"/>
        </w:rPr>
        <w:t xml:space="preserve">3.2 Proposed Framework: KhmerXScore</w:t>
      </w:r>
    </w:p>
    <w:p>
      <w:pPr>
        <w:spacing w:after="200" w:line="360"/>
        <w:jc w:val="both"/>
      </w:pPr>
      <w:r>
        <w:rPr>
          <w:rFonts w:ascii="Times New Roman" w:cs="Times New Roman" w:eastAsia="Times New Roman" w:hAnsi="Times New Roman"/>
          <w:sz w:val="24"/>
          <w:szCs w:val="24"/>
        </w:rPr>
        <w:t xml:space="preserve">The KhmerXScore framework consists of four integrated components, each addressing specific challenges identified in the literature review:</w:t>
      </w:r>
    </w:p>
    <w:p>
      <w:pPr>
        <w:spacing w:before="240" w:after="160" w:line="360"/>
        <w:jc w:val="left"/>
      </w:pPr>
      <w:r>
        <w:rPr>
          <w:rFonts w:ascii="Times New Roman" w:cs="Times New Roman" w:eastAsia="Times New Roman" w:hAnsi="Times New Roman"/>
          <w:b/>
          <w:bCs/>
          <w:i/>
          <w:iCs/>
          <w:sz w:val="24"/>
          <w:szCs w:val="24"/>
        </w:rPr>
        <w:t xml:space="preserve">Component 1: Khmer Text Processing Pipeline</w:t>
      </w:r>
    </w:p>
    <w:p>
      <w:pPr>
        <w:spacing w:after="200" w:line="360"/>
        <w:jc w:val="both"/>
      </w:pPr>
      <w:r>
        <w:rPr>
          <w:rFonts w:ascii="Times New Roman" w:cs="Times New Roman" w:eastAsia="Times New Roman" w:hAnsi="Times New Roman"/>
          <w:sz w:val="24"/>
          <w:szCs w:val="24"/>
        </w:rPr>
        <w:t xml:space="preserve">Building on Buoy et al. (2021) and Thuon (2024), the pipeline addresses: (a) Character Normalization, reordering character sequences to a canonical form to resolve the identical rendering problem; (b) Word Segmentation, using BiLSTM-based segmentation models with SentencePiece character-level tokenization as fallback; (c) Spellchecking, employing grapheme and phoneme-based correction with a Khmer language model for candidate selection; and (d) Stop Word Removal and Keyword Extraction, using TF-IDF adapted for Khmer.</w:t>
      </w:r>
    </w:p>
    <w:p>
      <w:pPr>
        <w:spacing w:before="240" w:after="160" w:line="360"/>
        <w:jc w:val="left"/>
      </w:pPr>
      <w:r>
        <w:rPr>
          <w:rFonts w:ascii="Times New Roman" w:cs="Times New Roman" w:eastAsia="Times New Roman" w:hAnsi="Times New Roman"/>
          <w:b/>
          <w:bCs/>
          <w:i/>
          <w:iCs/>
          <w:sz w:val="24"/>
          <w:szCs w:val="24"/>
        </w:rPr>
        <w:t xml:space="preserve">Component 2: Multilingual Scoring Model</w:t>
      </w:r>
    </w:p>
    <w:p>
      <w:pPr>
        <w:spacing w:after="200" w:line="360"/>
        <w:jc w:val="both"/>
      </w:pPr>
      <w:r>
        <w:rPr>
          <w:rFonts w:ascii="Times New Roman" w:cs="Times New Roman" w:eastAsia="Times New Roman" w:hAnsi="Times New Roman"/>
          <w:sz w:val="24"/>
          <w:szCs w:val="24"/>
        </w:rPr>
        <w:t xml:space="preserve">Following Li and He (2024) and Lachana (2025), the scoring model uses multilingual pre-trained language models as encoder backbones. We experiment with mBERT-uncased and XLM-RoBERTa, enhanced with: (a) Cross-lingual contrastive learning (XCL) to align writing quality representations across languages; (b) Domain adaptation through continued pre-training on available Khmer text corpora; and (c) Fine-tuning on the KhmerSAG dataset with reference answer comparison. The scoring head uses a fully connected layer transforming essay representations to predicted scores, trained with MSE loss combined with contrastive loss.</w:t>
      </w:r>
    </w:p>
    <w:p>
      <w:pPr>
        <w:spacing w:before="240" w:after="160" w:line="360"/>
        <w:jc w:val="left"/>
      </w:pPr>
      <w:r>
        <w:rPr>
          <w:rFonts w:ascii="Times New Roman" w:cs="Times New Roman" w:eastAsia="Times New Roman" w:hAnsi="Times New Roman"/>
          <w:b/>
          <w:bCs/>
          <w:i/>
          <w:iCs/>
          <w:sz w:val="24"/>
          <w:szCs w:val="24"/>
        </w:rPr>
        <w:t xml:space="preserve">Component 3: Dual-Layer Explainability Module</w:t>
      </w:r>
    </w:p>
    <w:p>
      <w:pPr>
        <w:spacing w:after="200" w:line="360"/>
        <w:jc w:val="both"/>
      </w:pPr>
      <w:r>
        <w:rPr>
          <w:rFonts w:ascii="Times New Roman" w:cs="Times New Roman" w:eastAsia="Times New Roman" w:hAnsi="Times New Roman"/>
          <w:sz w:val="24"/>
          <w:szCs w:val="24"/>
        </w:rPr>
        <w:t xml:space="preserve">The explainability module operates at two levels: (a) Token-level attributions using SHAP and Integrated Gradients, producing color-coded visualizations showing which tokens in student responses contributed positively or negatively to scores; and (b) Natural-language explanations using rubric-aligned CoT prompting with a multilingual LLM, generating structured feedback in Khmer aligned with scoring criteria. This dual approach provides both fine-grained technical explanations for debugging and pedagogically meaningful feedback for students and educators.</w:t>
      </w:r>
    </w:p>
    <w:p>
      <w:pPr>
        <w:spacing w:before="240" w:after="160" w:line="360"/>
        <w:jc w:val="left"/>
      </w:pPr>
      <w:r>
        <w:rPr>
          <w:rFonts w:ascii="Times New Roman" w:cs="Times New Roman" w:eastAsia="Times New Roman" w:hAnsi="Times New Roman"/>
          <w:b/>
          <w:bCs/>
          <w:i/>
          <w:iCs/>
          <w:sz w:val="24"/>
          <w:szCs w:val="24"/>
        </w:rPr>
        <w:t xml:space="preserve">Component 4: KhmerSAG Dataset</w:t>
      </w:r>
    </w:p>
    <w:p>
      <w:pPr>
        <w:spacing w:after="200" w:line="360"/>
        <w:jc w:val="both"/>
      </w:pPr>
      <w:r>
        <w:rPr>
          <w:rFonts w:ascii="Times New Roman" w:cs="Times New Roman" w:eastAsia="Times New Roman" w:hAnsi="Times New Roman"/>
          <w:sz w:val="24"/>
          <w:szCs w:val="24"/>
        </w:rPr>
        <w:t xml:space="preserve">The dataset construction follows a rigorous procedure: (a) Question collection from secondary and tertiary examinations across three subjects; (b) Reference answer development by subject experts with detailed rubric criteria; (c) Student response collection from consenting participants; (d) Double scoring by trained graders with disagreement resolution through discussion; and (e) Explanation annotation where graders provide written justifications for scores. Target size is 2,000-3,000 question-response pairs across 50-80 distinct questions.</w:t>
      </w:r>
    </w:p>
    <w:p>
      <w:pPr>
        <w:pStyle w:val="Heading2"/>
        <w:spacing w:before="280" w:after="200" w:line="360"/>
        <w:jc w:val="left"/>
      </w:pPr>
      <w:r>
        <w:rPr>
          <w:rFonts w:ascii="Times New Roman" w:cs="Times New Roman" w:eastAsia="Times New Roman" w:hAnsi="Times New Roman"/>
          <w:b/>
          <w:bCs/>
          <w:sz w:val="26"/>
          <w:szCs w:val="26"/>
        </w:rPr>
        <w:t xml:space="preserve">3.3 Dataset Construction</w:t>
      </w:r>
    </w:p>
    <w:p>
      <w:pPr>
        <w:spacing w:before="240" w:after="160" w:line="360"/>
        <w:jc w:val="left"/>
      </w:pPr>
      <w:r>
        <w:rPr>
          <w:rFonts w:ascii="Times New Roman" w:cs="Times New Roman" w:eastAsia="Times New Roman" w:hAnsi="Times New Roman"/>
          <w:b/>
          <w:bCs/>
          <w:i/>
          <w:iCs/>
          <w:sz w:val="24"/>
          <w:szCs w:val="24"/>
        </w:rPr>
        <w:t xml:space="preserve">3.3.1 Data Collection</w:t>
      </w:r>
    </w:p>
    <w:p>
      <w:pPr>
        <w:spacing w:after="200" w:line="360"/>
        <w:jc w:val="both"/>
      </w:pPr>
      <w:r>
        <w:rPr>
          <w:rFonts w:ascii="Times New Roman" w:cs="Times New Roman" w:eastAsia="Times New Roman" w:hAnsi="Times New Roman"/>
          <w:sz w:val="24"/>
          <w:szCs w:val="24"/>
        </w:rPr>
        <w:t xml:space="preserve">Short-answer questions and reference answers are collected from existing examinations at partner educational institutions in Cambodia, covering Khmer language arts, social studies, and science at secondary and introductory tertiary levels. Student responses are collected from consenting students taking these examinations. Each question has one or more reference answers and a scoring rubric with 4-5 score levels.</w:t>
      </w:r>
    </w:p>
    <w:p>
      <w:pPr>
        <w:spacing w:before="240" w:after="160" w:line="360"/>
        <w:jc w:val="left"/>
      </w:pPr>
      <w:r>
        <w:rPr>
          <w:rFonts w:ascii="Times New Roman" w:cs="Times New Roman" w:eastAsia="Times New Roman" w:hAnsi="Times New Roman"/>
          <w:b/>
          <w:bCs/>
          <w:i/>
          <w:iCs/>
          <w:sz w:val="24"/>
          <w:szCs w:val="24"/>
        </w:rPr>
        <w:t xml:space="preserve">3.3.2 Annotation Protocol</w:t>
      </w:r>
    </w:p>
    <w:p>
      <w:pPr>
        <w:spacing w:after="200" w:line="360"/>
        <w:jc w:val="both"/>
      </w:pPr>
      <w:r>
        <w:rPr>
          <w:rFonts w:ascii="Times New Roman" w:cs="Times New Roman" w:eastAsia="Times New Roman" w:hAnsi="Times New Roman"/>
          <w:sz w:val="24"/>
          <w:szCs w:val="24"/>
        </w:rPr>
        <w:t xml:space="preserve">Following best practices from Lachana (2025) and the ASAP dataset methodology, each response is independently scored by two trained graders. Inter-rater agreement is measured using weighted Cohen's Kappa, with responses below moderate agreement (kappa &lt; 0.41) flagged for adjudication. Graders also provide written justifications identifying which rubric elements are present or absent in each response. This creates ground truth for both scoring evaluation and explanation quality assessment.</w:t>
      </w:r>
    </w:p>
    <w:p>
      <w:pPr>
        <w:spacing w:before="240" w:after="160" w:line="360"/>
        <w:jc w:val="left"/>
      </w:pPr>
      <w:r>
        <w:rPr>
          <w:rFonts w:ascii="Times New Roman" w:cs="Times New Roman" w:eastAsia="Times New Roman" w:hAnsi="Times New Roman"/>
          <w:b/>
          <w:bCs/>
          <w:i/>
          <w:iCs/>
          <w:sz w:val="24"/>
          <w:szCs w:val="24"/>
        </w:rPr>
        <w:t xml:space="preserve">3.3.3 Dataset Splits</w:t>
      </w:r>
    </w:p>
    <w:p>
      <w:pPr>
        <w:spacing w:after="200" w:line="360"/>
        <w:jc w:val="both"/>
      </w:pPr>
      <w:r>
        <w:rPr>
          <w:rFonts w:ascii="Times New Roman" w:cs="Times New Roman" w:eastAsia="Times New Roman" w:hAnsi="Times New Roman"/>
          <w:sz w:val="24"/>
          <w:szCs w:val="24"/>
        </w:rPr>
        <w:t xml:space="preserve">The dataset is divided into training (70%), validation (15%), and test (15%) sets using stratified sampling to preserve score distributions. A separate held-out test set comprising responses from one examination is reserved for evaluating generalization to unseen questions, following Lachana's (2025) methodology.</w:t>
      </w:r>
    </w:p>
    <w:p>
      <w:pPr>
        <w:pStyle w:val="Heading2"/>
        <w:spacing w:before="280" w:after="200" w:line="360"/>
        <w:jc w:val="left"/>
      </w:pPr>
      <w:r>
        <w:rPr>
          <w:rFonts w:ascii="Times New Roman" w:cs="Times New Roman" w:eastAsia="Times New Roman" w:hAnsi="Times New Roman"/>
          <w:b/>
          <w:bCs/>
          <w:sz w:val="26"/>
          <w:szCs w:val="26"/>
        </w:rPr>
        <w:t xml:space="preserve">3.4 Model Architecture</w:t>
      </w:r>
    </w:p>
    <w:p>
      <w:pPr>
        <w:spacing w:before="240" w:after="160" w:line="360"/>
        <w:jc w:val="left"/>
      </w:pPr>
      <w:r>
        <w:rPr>
          <w:rFonts w:ascii="Times New Roman" w:cs="Times New Roman" w:eastAsia="Times New Roman" w:hAnsi="Times New Roman"/>
          <w:b/>
          <w:bCs/>
          <w:i/>
          <w:iCs/>
          <w:sz w:val="24"/>
          <w:szCs w:val="24"/>
        </w:rPr>
        <w:t xml:space="preserve">3.4.1 Encoder Selection</w:t>
      </w:r>
    </w:p>
    <w:p>
      <w:pPr>
        <w:spacing w:after="200" w:line="360"/>
        <w:jc w:val="both"/>
      </w:pPr>
      <w:r>
        <w:rPr>
          <w:rFonts w:ascii="Times New Roman" w:cs="Times New Roman" w:eastAsia="Times New Roman" w:hAnsi="Times New Roman"/>
          <w:sz w:val="24"/>
          <w:szCs w:val="24"/>
        </w:rPr>
        <w:t xml:space="preserve">We evaluate four multilingual encoders: mBERT-cased, mBERT-uncased, XLM-RoBERTa-base, and XLM-RoBERTa-large. Based on Li and He's (2024) finding that case-insensitive models perform better for cross-lingual scoring, mBERT-uncased is hypothesized to be most effective. Maximum sequence length is set to 512 tokens.</w:t>
      </w:r>
    </w:p>
    <w:p>
      <w:pPr>
        <w:spacing w:before="240" w:after="160" w:line="360"/>
        <w:jc w:val="left"/>
      </w:pPr>
      <w:r>
        <w:rPr>
          <w:rFonts w:ascii="Times New Roman" w:cs="Times New Roman" w:eastAsia="Times New Roman" w:hAnsi="Times New Roman"/>
          <w:b/>
          <w:bCs/>
          <w:i/>
          <w:iCs/>
          <w:sz w:val="24"/>
          <w:szCs w:val="24"/>
        </w:rPr>
        <w:t xml:space="preserve">3.4.2 Scoring Architecture</w:t>
      </w:r>
    </w:p>
    <w:p>
      <w:pPr>
        <w:spacing w:after="200" w:line="360"/>
        <w:jc w:val="both"/>
      </w:pPr>
      <w:r>
        <w:rPr>
          <w:rFonts w:ascii="Times New Roman" w:cs="Times New Roman" w:eastAsia="Times New Roman" w:hAnsi="Times New Roman"/>
          <w:sz w:val="24"/>
          <w:szCs w:val="24"/>
        </w:rPr>
        <w:t xml:space="preserve">The scoring architecture follows a dual-input design: the student response and reference answer are both encoded, and their representations are combined (via concatenation, difference, and element-wise product) before being fed to a scoring head. The scoring head consists of fully connected layers with dropout regularization. Training uses AdamW optimizer with learning rate 5e-5, batch size 16, and early stopping based on validation QWK.</w:t>
      </w:r>
    </w:p>
    <w:p>
      <w:pPr>
        <w:spacing w:before="240" w:after="160" w:line="360"/>
        <w:jc w:val="left"/>
      </w:pPr>
      <w:r>
        <w:rPr>
          <w:rFonts w:ascii="Times New Roman" w:cs="Times New Roman" w:eastAsia="Times New Roman" w:hAnsi="Times New Roman"/>
          <w:b/>
          <w:bCs/>
          <w:i/>
          <w:iCs/>
          <w:sz w:val="24"/>
          <w:szCs w:val="24"/>
        </w:rPr>
        <w:t xml:space="preserve">3.4.3 Cross-Lingual Enhancement</w:t>
      </w:r>
    </w:p>
    <w:p>
      <w:pPr>
        <w:spacing w:after="200" w:line="360"/>
        <w:jc w:val="both"/>
      </w:pPr>
      <w:r>
        <w:rPr>
          <w:rFonts w:ascii="Times New Roman" w:cs="Times New Roman" w:eastAsia="Times New Roman" w:hAnsi="Times New Roman"/>
          <w:sz w:val="24"/>
          <w:szCs w:val="24"/>
        </w:rPr>
        <w:t xml:space="preserve">For cross-lingual experiments, we adopt Li and He's (2024) XCL module with temperature parameter tau = 0.1, memory bank size S = 128, and balancing factor lambda = 0.9. Writing quality levels are derived from score ranges: low (scores 1-2), medium (scores 3-4), and high (scores 5+). Models are trained on available multilingual essay datasets and transferred to Khmer.</w:t>
      </w:r>
    </w:p>
    <w:p>
      <w:pPr>
        <w:pStyle w:val="Heading2"/>
        <w:spacing w:before="280" w:after="200" w:line="360"/>
        <w:jc w:val="left"/>
      </w:pPr>
      <w:r>
        <w:rPr>
          <w:rFonts w:ascii="Times New Roman" w:cs="Times New Roman" w:eastAsia="Times New Roman" w:hAnsi="Times New Roman"/>
          <w:b/>
          <w:bCs/>
          <w:sz w:val="26"/>
          <w:szCs w:val="26"/>
        </w:rPr>
        <w:t xml:space="preserve">3.5 Explainability Module</w:t>
      </w:r>
    </w:p>
    <w:p>
      <w:pPr>
        <w:spacing w:before="240" w:after="160" w:line="360"/>
        <w:jc w:val="left"/>
      </w:pPr>
      <w:r>
        <w:rPr>
          <w:rFonts w:ascii="Times New Roman" w:cs="Times New Roman" w:eastAsia="Times New Roman" w:hAnsi="Times New Roman"/>
          <w:b/>
          <w:bCs/>
          <w:i/>
          <w:iCs/>
          <w:sz w:val="24"/>
          <w:szCs w:val="24"/>
        </w:rPr>
        <w:t xml:space="preserve">3.5.1 Post-Hoc Attribution Methods</w:t>
      </w:r>
    </w:p>
    <w:p>
      <w:pPr>
        <w:spacing w:after="200" w:line="360"/>
        <w:jc w:val="both"/>
      </w:pPr>
      <w:r>
        <w:rPr>
          <w:rFonts w:ascii="Times New Roman" w:cs="Times New Roman" w:eastAsia="Times New Roman" w:hAnsi="Times New Roman"/>
          <w:sz w:val="24"/>
          <w:szCs w:val="24"/>
        </w:rPr>
        <w:t xml:space="preserve">SHAP values are computed using GradientSHAP (Kumar &amp; Boulanger, 2020) for efficiency, with KernelSHAP as validation. Integrated Gradients are computed following Tornqvist et al. (2023). Both methods produce token-level importance scores that are visualized as color-coded text, with green indicating positive contributions and red indicating negative contributions to the score.</w:t>
      </w:r>
    </w:p>
    <w:p>
      <w:pPr>
        <w:spacing w:before="240" w:after="160" w:line="360"/>
        <w:jc w:val="left"/>
      </w:pPr>
      <w:r>
        <w:rPr>
          <w:rFonts w:ascii="Times New Roman" w:cs="Times New Roman" w:eastAsia="Times New Roman" w:hAnsi="Times New Roman"/>
          <w:b/>
          <w:bCs/>
          <w:i/>
          <w:iCs/>
          <w:sz w:val="24"/>
          <w:szCs w:val="24"/>
        </w:rPr>
        <w:t xml:space="preserve">3.5.2 Rubric-Aligned CoT Prompting</w:t>
      </w:r>
    </w:p>
    <w:p>
      <w:pPr>
        <w:spacing w:after="200" w:line="360"/>
        <w:jc w:val="both"/>
      </w:pPr>
      <w:r>
        <w:rPr>
          <w:rFonts w:ascii="Times New Roman" w:cs="Times New Roman" w:eastAsia="Times New Roman" w:hAnsi="Times New Roman"/>
          <w:sz w:val="24"/>
          <w:szCs w:val="24"/>
        </w:rPr>
        <w:t xml:space="preserve">Following Xu et al. (2025), the CoT module uses a multilingual LLM with structured prompts that embed the scoring rubric. The prompt instructs the model to: (1) identify relevant content elements in the student response, (2) compare them against rubric criteria, (3) generate trait-specific reasoning, and (4) produce a justified score with actionable feedback. Prompts are developed in both English and Khmer, with Khmer-native evaluators assessing translation quality.</w:t>
      </w:r>
    </w:p>
    <w:p>
      <w:pPr>
        <w:pStyle w:val="Heading2"/>
        <w:spacing w:before="280" w:after="200" w:line="360"/>
        <w:jc w:val="left"/>
      </w:pPr>
      <w:r>
        <w:rPr>
          <w:rFonts w:ascii="Times New Roman" w:cs="Times New Roman" w:eastAsia="Times New Roman" w:hAnsi="Times New Roman"/>
          <w:b/>
          <w:bCs/>
          <w:sz w:val="26"/>
          <w:szCs w:val="26"/>
        </w:rPr>
        <w:t xml:space="preserve">3.6 Evaluation Methodology</w:t>
      </w:r>
    </w:p>
    <w:p>
      <w:pPr>
        <w:spacing w:before="240" w:after="160" w:line="360"/>
        <w:jc w:val="left"/>
      </w:pPr>
      <w:r>
        <w:rPr>
          <w:rFonts w:ascii="Times New Roman" w:cs="Times New Roman" w:eastAsia="Times New Roman" w:hAnsi="Times New Roman"/>
          <w:b/>
          <w:bCs/>
          <w:i/>
          <w:iCs/>
          <w:sz w:val="24"/>
          <w:szCs w:val="24"/>
        </w:rPr>
        <w:t xml:space="preserve">3.6.1 Scoring Performance Metrics</w:t>
      </w:r>
    </w:p>
    <w:p>
      <w:pPr>
        <w:spacing w:after="200" w:line="360"/>
        <w:jc w:val="both"/>
      </w:pPr>
      <w:r>
        <w:rPr>
          <w:rFonts w:ascii="Times New Roman" w:cs="Times New Roman" w:eastAsia="Times New Roman" w:hAnsi="Times New Roman"/>
          <w:sz w:val="24"/>
          <w:szCs w:val="24"/>
        </w:rPr>
        <w:t xml:space="preserve">Following established practice (Li &amp; He, 2024; Lachana, 2025; Xu et al., 2025), scoring performance is evaluated using: Quadratic Weighted Kappa (QWK) as the primary metric for human-model agreement; Pearson Correlation Coefficient for linear relationship between predicted and actual scores; Root Mean Square Error (RMSE) and Mean Absolute Error (MAE) for error magnitude; and Spearman Rank Correlation for ordinal consistency.</w:t>
      </w:r>
    </w:p>
    <w:p>
      <w:pPr>
        <w:spacing w:before="240" w:after="160" w:line="360"/>
        <w:jc w:val="left"/>
      </w:pPr>
      <w:r>
        <w:rPr>
          <w:rFonts w:ascii="Times New Roman" w:cs="Times New Roman" w:eastAsia="Times New Roman" w:hAnsi="Times New Roman"/>
          <w:b/>
          <w:bCs/>
          <w:i/>
          <w:iCs/>
          <w:sz w:val="24"/>
          <w:szCs w:val="24"/>
        </w:rPr>
        <w:t xml:space="preserve">3.6.2 Explainability Evaluation</w:t>
      </w:r>
    </w:p>
    <w:p>
      <w:pPr>
        <w:spacing w:after="200" w:line="360"/>
        <w:jc w:val="both"/>
      </w:pPr>
      <w:r>
        <w:rPr>
          <w:rFonts w:ascii="Times New Roman" w:cs="Times New Roman" w:eastAsia="Times New Roman" w:hAnsi="Times New Roman"/>
          <w:sz w:val="24"/>
          <w:szCs w:val="24"/>
        </w:rPr>
        <w:t xml:space="preserve">Explanation quality is assessed through: (a) Automated metrics including Intersection-over-Union F1 between model attributions and human-annotated justifications (Tornqvist et al., 2023), Token F1, and AUPRC for plausibility; comprehensiveness and sufficiency for faithfulness; (b) Human evaluation by 10-15 Cambodian educators rating explanations on 5-point Likert scales for relevance, specificity, clarity, and pedagogical value; and (c) Pairwise preference ratings comparing different explanation methods.</w:t>
      </w:r>
    </w:p>
    <w:p>
      <w:pPr>
        <w:spacing w:before="240" w:after="160" w:line="360"/>
        <w:jc w:val="left"/>
      </w:pPr>
      <w:r>
        <w:rPr>
          <w:rFonts w:ascii="Times New Roman" w:cs="Times New Roman" w:eastAsia="Times New Roman" w:hAnsi="Times New Roman"/>
          <w:b/>
          <w:bCs/>
          <w:i/>
          <w:iCs/>
          <w:sz w:val="24"/>
          <w:szCs w:val="24"/>
        </w:rPr>
        <w:t xml:space="preserve">3.6.3 Baselines</w:t>
      </w:r>
    </w:p>
    <w:p>
      <w:pPr>
        <w:spacing w:after="200" w:line="360"/>
        <w:jc w:val="both"/>
      </w:pPr>
      <w:r>
        <w:rPr>
          <w:rFonts w:ascii="Times New Roman" w:cs="Times New Roman" w:eastAsia="Times New Roman" w:hAnsi="Times New Roman"/>
          <w:sz w:val="24"/>
          <w:szCs w:val="24"/>
        </w:rPr>
        <w:t xml:space="preserve">The system is compared against: (a) TF-IDF cosine similarity baseline; (b) Sentence-BERT cosine similarity; (c) Fine-tuned mBERT without XAI; (d) GPT-4 with zero-shot and few-shot prompting; and (e) Human inter-rater agreement as upper bound.</w:t>
      </w:r>
    </w:p>
    <w:p>
      <w:pPr>
        <w:pStyle w:val="Heading2"/>
        <w:spacing w:before="280" w:after="200" w:line="360"/>
        <w:jc w:val="left"/>
      </w:pPr>
      <w:r>
        <w:rPr>
          <w:rFonts w:ascii="Times New Roman" w:cs="Times New Roman" w:eastAsia="Times New Roman" w:hAnsi="Times New Roman"/>
          <w:b/>
          <w:bCs/>
          <w:sz w:val="26"/>
          <w:szCs w:val="26"/>
        </w:rPr>
        <w:t xml:space="preserve">3.7 Ethical Considerations</w:t>
      </w:r>
    </w:p>
    <w:p>
      <w:pPr>
        <w:spacing w:after="200" w:line="360"/>
        <w:jc w:val="both"/>
      </w:pPr>
      <w:r>
        <w:rPr>
          <w:rFonts w:ascii="Times New Roman" w:cs="Times New Roman" w:eastAsia="Times New Roman" w:hAnsi="Times New Roman"/>
          <w:sz w:val="24"/>
          <w:szCs w:val="24"/>
        </w:rPr>
        <w:t xml:space="preserve">The study adheres to ethical research principles including: informed consent from all student participants and educators; anonymization of all response data; IRB approval from the relevant institutional review board; the right for participants to withdraw at any time; and transparent communication about the system's capabilities and limitations. Following the EU AI Act's classification of educational AI as high-risk, the system is designed with human oversight mechanisms ensuring that automated scores serve as recommendations rather than final decisions.</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4: System Design and Implementation</w:t>
      </w:r>
    </w:p>
    <w:p>
      <w:pPr>
        <w:pStyle w:val="Heading2"/>
        <w:spacing w:before="280" w:after="200" w:line="360"/>
        <w:jc w:val="left"/>
      </w:pPr>
      <w:r>
        <w:rPr>
          <w:rFonts w:ascii="Times New Roman" w:cs="Times New Roman" w:eastAsia="Times New Roman" w:hAnsi="Times New Roman"/>
          <w:b/>
          <w:bCs/>
          <w:sz w:val="26"/>
          <w:szCs w:val="26"/>
        </w:rPr>
        <w:t xml:space="preserve">4.1 System Architecture Overview</w:t>
      </w:r>
    </w:p>
    <w:p>
      <w:pPr>
        <w:spacing w:after="200" w:line="360"/>
        <w:jc w:val="both"/>
      </w:pPr>
      <w:r>
        <w:rPr>
          <w:rFonts w:ascii="Times New Roman" w:cs="Times New Roman" w:eastAsia="Times New Roman" w:hAnsi="Times New Roman"/>
          <w:sz w:val="24"/>
          <w:szCs w:val="24"/>
        </w:rPr>
        <w:t xml:space="preserve">The KhmerXScore system is implemented as a modular web-based application with four main subsystems: the Khmer text processing pipeline, the scoring engine, the explainability engine, and the user interface. The system is built using Python with PyTorch for deep learning components, the HuggingFace Transformers library for pre-trained model access, and the SHAP library for post-hoc explanations. The web interface is implemented using a modern framework to provide an intuitive experience for educators and students.</w:t>
      </w:r>
    </w:p>
    <w:p>
      <w:pPr>
        <w:pStyle w:val="Heading2"/>
        <w:spacing w:before="280" w:after="200" w:line="360"/>
        <w:jc w:val="left"/>
      </w:pPr>
      <w:r>
        <w:rPr>
          <w:rFonts w:ascii="Times New Roman" w:cs="Times New Roman" w:eastAsia="Times New Roman" w:hAnsi="Times New Roman"/>
          <w:b/>
          <w:bCs/>
          <w:sz w:val="26"/>
          <w:szCs w:val="26"/>
        </w:rPr>
        <w:t xml:space="preserve">4.2 Khmer Text Processing Pipeline</w:t>
      </w:r>
    </w:p>
    <w:p>
      <w:pPr>
        <w:spacing w:after="200" w:line="360"/>
        <w:jc w:val="both"/>
      </w:pPr>
      <w:r>
        <w:rPr>
          <w:rFonts w:ascii="Times New Roman" w:cs="Times New Roman" w:eastAsia="Times New Roman" w:hAnsi="Times New Roman"/>
          <w:sz w:val="24"/>
          <w:szCs w:val="24"/>
        </w:rPr>
        <w:t xml:space="preserve">The text processing pipeline implements four sequential stages. The character normalizer reorders Khmer characters following the canonical ordering rules defined by Sok (2020) and the Khmer Character Specification, resolving the identical rendering problem that affects text matching. The word segmenter uses a BiLSTM model trained on available Khmer segmented corpora, following Buoy et al. (2020), with SentencePiece (Kudo, 2018) character-level tokenization as a parallel encoding path that bypasses segmentation entirely. The spellchecker combines grapheme and phoneme-based edit distance computation with a Khmer language model for correction candidate ranking, following the holistic approach that achieves sentence-level likelihood maximization. Finally, text normalization handles common variations in Khmer writing including spacing inconsistencies and diacritical mark usage.</w:t>
      </w:r>
    </w:p>
    <w:p>
      <w:pPr>
        <w:pStyle w:val="Heading2"/>
        <w:spacing w:before="280" w:after="200" w:line="360"/>
        <w:jc w:val="left"/>
      </w:pPr>
      <w:r>
        <w:rPr>
          <w:rFonts w:ascii="Times New Roman" w:cs="Times New Roman" w:eastAsia="Times New Roman" w:hAnsi="Times New Roman"/>
          <w:b/>
          <w:bCs/>
          <w:sz w:val="26"/>
          <w:szCs w:val="26"/>
        </w:rPr>
        <w:t xml:space="preserve">4.3 Scoring Model Implementation</w:t>
      </w:r>
    </w:p>
    <w:p>
      <w:pPr>
        <w:spacing w:after="200" w:line="360"/>
        <w:jc w:val="both"/>
      </w:pPr>
      <w:r>
        <w:rPr>
          <w:rFonts w:ascii="Times New Roman" w:cs="Times New Roman" w:eastAsia="Times New Roman" w:hAnsi="Times New Roman"/>
          <w:sz w:val="24"/>
          <w:szCs w:val="24"/>
        </w:rPr>
        <w:t xml:space="preserve">The scoring model is implemented in two configurations. The direct fine-tuning configuration takes the [CLS] token representation from the multilingual encoder, concatenated with the reference answer [CLS] representation, and feeds it through a two-layer MLP scoring head with dropout (p=0.1-0.25). Hyperparameter tuning follows Lachana's (2025) approach, varying learning rate (1e-5 to 2e-4), weight decay (1e-4 to 5e-3), frozen layers (0, 3, 6), dropout (0.1-0.25), and batch size (8, 16, 64). The cross-lingual configuration adds the XCL module following Li and He (2024), with the contrastive loss computed over a memory bank of essay representations.</w:t>
      </w:r>
    </w:p>
    <w:p>
      <w:pPr>
        <w:pStyle w:val="Heading2"/>
        <w:spacing w:before="280" w:after="200" w:line="360"/>
        <w:jc w:val="left"/>
      </w:pPr>
      <w:r>
        <w:rPr>
          <w:rFonts w:ascii="Times New Roman" w:cs="Times New Roman" w:eastAsia="Times New Roman" w:hAnsi="Times New Roman"/>
          <w:b/>
          <w:bCs/>
          <w:sz w:val="26"/>
          <w:szCs w:val="26"/>
        </w:rPr>
        <w:t xml:space="preserve">4.4 Explainability Module Implementation</w:t>
      </w:r>
    </w:p>
    <w:p>
      <w:pPr>
        <w:spacing w:after="200" w:line="360"/>
        <w:jc w:val="both"/>
      </w:pPr>
      <w:r>
        <w:rPr>
          <w:rFonts w:ascii="Times New Roman" w:cs="Times New Roman" w:eastAsia="Times New Roman" w:hAnsi="Times New Roman"/>
          <w:sz w:val="24"/>
          <w:szCs w:val="24"/>
        </w:rPr>
        <w:t xml:space="preserve">The SHAP module uses the GradientSHAP implementation from the SHAP Python library, following Kumar and Boulanger's (2020) methodology. Token-level SHAP values are computed for each prediction and visualized as force plots and text highlighting. The Integrated Gradients module implements the algorithm from Sundararajan et al. (2017), using the zero embedding as baseline, with 50 interpolation steps. The CoT module interfaces with a multilingual LLM API, using the rubric-aligned prompting strategy adapted from Xu et al. (2025). Prompts are structured to generate feedback in Khmer following the four-step evaluation procedure: content identification, rubric comparison, reasoning generation, and justified scoring.</w:t>
      </w:r>
    </w:p>
    <w:p>
      <w:pPr>
        <w:pStyle w:val="Heading2"/>
        <w:spacing w:before="280" w:after="200" w:line="360"/>
        <w:jc w:val="left"/>
      </w:pPr>
      <w:r>
        <w:rPr>
          <w:rFonts w:ascii="Times New Roman" w:cs="Times New Roman" w:eastAsia="Times New Roman" w:hAnsi="Times New Roman"/>
          <w:b/>
          <w:bCs/>
          <w:sz w:val="26"/>
          <w:szCs w:val="26"/>
        </w:rPr>
        <w:t xml:space="preserve">4.5 Web Interface Design</w:t>
      </w:r>
    </w:p>
    <w:p>
      <w:pPr>
        <w:spacing w:after="200" w:line="360"/>
        <w:jc w:val="both"/>
      </w:pPr>
      <w:r>
        <w:rPr>
          <w:rFonts w:ascii="Times New Roman" w:cs="Times New Roman" w:eastAsia="Times New Roman" w:hAnsi="Times New Roman"/>
          <w:sz w:val="24"/>
          <w:szCs w:val="24"/>
        </w:rPr>
        <w:t xml:space="preserve">The web interface provides three views: (a) a Teacher Dashboard for uploading questions, reference answers, and rubrics, viewing class-wide scoring results, and examining individual explanations; (b) a Student View for viewing scores alongside explanations with highlighted text showing which parts of their answer contributed positively or negatively; and (c) an Admin Panel for system configuration, model selection, and evaluation report generation. The interface fully supports Khmer script rendering and right-to-left input where necessary.</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5: Expected Results and Analysis</w:t>
      </w:r>
    </w:p>
    <w:p>
      <w:pPr>
        <w:pStyle w:val="Heading2"/>
        <w:spacing w:before="280" w:after="200" w:line="360"/>
        <w:jc w:val="left"/>
      </w:pPr>
      <w:r>
        <w:rPr>
          <w:rFonts w:ascii="Times New Roman" w:cs="Times New Roman" w:eastAsia="Times New Roman" w:hAnsi="Times New Roman"/>
          <w:b/>
          <w:bCs/>
          <w:sz w:val="26"/>
          <w:szCs w:val="26"/>
        </w:rPr>
        <w:t xml:space="preserve">5.1 Scoring Performance Evaluation</w:t>
      </w:r>
    </w:p>
    <w:p>
      <w:pPr>
        <w:spacing w:after="200" w:line="360"/>
        <w:jc w:val="both"/>
      </w:pPr>
      <w:r>
        <w:rPr>
          <w:rFonts w:ascii="Times New Roman" w:cs="Times New Roman" w:eastAsia="Times New Roman" w:hAnsi="Times New Roman"/>
          <w:sz w:val="24"/>
          <w:szCs w:val="24"/>
        </w:rPr>
        <w:t xml:space="preserve">Based on comparable studies in Arabic (Alqurashi et al., 2025), Dutch (Lachana, 2025), and cross-lingual settings (Li &amp; He, 2024), we anticipate the following performance ranges for the KhmerXScore system:</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20"/>
        <w:gridCol w:w="1410"/>
        <w:gridCol w:w="1410"/>
        <w:gridCol w:w="1410"/>
        <w:gridCol w:w="1410"/>
      </w:tblGrid>
      <w:tr>
        <w:tc>
          <w:tcPr>
            <w:tcW w:type="dxa" w:w="282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40" w:line="276"/>
            </w:pPr>
            <w:r>
              <w:rPr>
                <w:rFonts w:ascii="Times New Roman" w:cs="Times New Roman" w:eastAsia="Times New Roman" w:hAnsi="Times New Roman"/>
                <w:b/>
                <w:bCs/>
                <w:sz w:val="20"/>
                <w:szCs w:val="20"/>
              </w:rPr>
              <w:t xml:space="preserve">Model Configuration</w:t>
            </w:r>
          </w:p>
        </w:tc>
        <w:tc>
          <w:tcPr>
            <w:tcW w:type="dxa" w:w="141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40" w:line="276"/>
            </w:pPr>
            <w:r>
              <w:rPr>
                <w:rFonts w:ascii="Times New Roman" w:cs="Times New Roman" w:eastAsia="Times New Roman" w:hAnsi="Times New Roman"/>
                <w:b/>
                <w:bCs/>
                <w:sz w:val="20"/>
                <w:szCs w:val="20"/>
              </w:rPr>
              <w:t xml:space="preserve">QWK</w:t>
            </w:r>
          </w:p>
        </w:tc>
        <w:tc>
          <w:tcPr>
            <w:tcW w:type="dxa" w:w="141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40" w:line="276"/>
            </w:pPr>
            <w:r>
              <w:rPr>
                <w:rFonts w:ascii="Times New Roman" w:cs="Times New Roman" w:eastAsia="Times New Roman" w:hAnsi="Times New Roman"/>
                <w:b/>
                <w:bCs/>
                <w:sz w:val="20"/>
                <w:szCs w:val="20"/>
              </w:rPr>
              <w:t xml:space="preserve">Pearson r</w:t>
            </w:r>
          </w:p>
        </w:tc>
        <w:tc>
          <w:tcPr>
            <w:tcW w:type="dxa" w:w="141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40" w:line="276"/>
            </w:pPr>
            <w:r>
              <w:rPr>
                <w:rFonts w:ascii="Times New Roman" w:cs="Times New Roman" w:eastAsia="Times New Roman" w:hAnsi="Times New Roman"/>
                <w:b/>
                <w:bCs/>
                <w:sz w:val="20"/>
                <w:szCs w:val="20"/>
              </w:rPr>
              <w:t xml:space="preserve">RMSE</w:t>
            </w:r>
          </w:p>
        </w:tc>
        <w:tc>
          <w:tcPr>
            <w:tcW w:type="dxa" w:w="141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40" w:line="276"/>
            </w:pPr>
            <w:r>
              <w:rPr>
                <w:rFonts w:ascii="Times New Roman" w:cs="Times New Roman" w:eastAsia="Times New Roman" w:hAnsi="Times New Roman"/>
                <w:b/>
                <w:bCs/>
                <w:sz w:val="20"/>
                <w:szCs w:val="20"/>
              </w:rPr>
              <w:t xml:space="preserve">MAE</w:t>
            </w:r>
          </w:p>
        </w:tc>
      </w:tr>
      <w:tr>
        <w:tc>
          <w:tcPr>
            <w:tcW w:type="dxa" w:w="28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TF-IDF Baseline</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0.30-0.40</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0.40-0.50</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1.2-1.5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0.9-1.2</w:t>
            </w:r>
          </w:p>
        </w:tc>
      </w:tr>
      <w:tr>
        <w:tc>
          <w:tcPr>
            <w:tcW w:type="dxa" w:w="28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mBERT Fine-tuned</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0.45-0.55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0.55-0.65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0.8-1.0</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0.6-0.8</w:t>
            </w:r>
          </w:p>
        </w:tc>
      </w:tr>
      <w:tr>
        <w:tc>
          <w:tcPr>
            <w:tcW w:type="dxa" w:w="28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XLM-R Fine-tuned</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0.48-0.58</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0.58-0.68</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0.7-0.9</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0.5-0.7</w:t>
            </w:r>
          </w:p>
        </w:tc>
      </w:tr>
      <w:tr>
        <w:tc>
          <w:tcPr>
            <w:tcW w:type="dxa" w:w="28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mBERT + XCL</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0.50-0.60</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0.60-0.70</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0.6-0.8</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0.5-0.7</w:t>
            </w:r>
          </w:p>
        </w:tc>
      </w:tr>
      <w:tr>
        <w:tc>
          <w:tcPr>
            <w:tcW w:type="dxa" w:w="28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KhmerXScore (Full)</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0.55-0.65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0.65-0.75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0.5-0.7</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0.4-0.6</w:t>
            </w:r>
          </w:p>
        </w:tc>
      </w:tr>
      <w:tr>
        <w:tc>
          <w:tcPr>
            <w:tcW w:type="dxa" w:w="28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Human Agreement</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0.70-0.85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0.75-0.90</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0.3-0.5</w:t>
            </w:r>
          </w:p>
        </w:tc>
        <w:tc>
          <w:tcPr>
            <w:tcW w:type="dxa" w:w="14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76"/>
            </w:pPr>
            <w:r>
              <w:rPr>
                <w:rFonts w:ascii="Times New Roman" w:cs="Times New Roman" w:eastAsia="Times New Roman" w:hAnsi="Times New Roman"/>
                <w:sz w:val="20"/>
                <w:szCs w:val="20"/>
              </w:rPr>
              <w:t xml:space="preserve">0.2-0.4</w:t>
            </w:r>
          </w:p>
        </w:tc>
      </w:tr>
    </w:tbl>
    <w:p>
      <w:pPr>
        <w:spacing w:after="200" w:line="360"/>
        <w:jc w:val="center"/>
      </w:pPr>
      <w:r>
        <w:rPr>
          <w:rFonts w:ascii="Times New Roman" w:cs="Times New Roman" w:eastAsia="Times New Roman" w:hAnsi="Times New Roman"/>
          <w:i/>
          <w:iCs/>
          <w:sz w:val="20"/>
          <w:szCs w:val="20"/>
        </w:rPr>
        <w:t xml:space="preserve">Table 5.1: Expected scoring performance ranges across model configurations</w:t>
      </w:r>
    </w:p>
    <w:p>
      <w:pPr>
        <w:spacing w:after="200"/>
      </w:pPr>
    </w:p>
    <w:p>
      <w:pPr>
        <w:spacing w:after="200" w:line="360"/>
        <w:jc w:val="both"/>
      </w:pPr>
      <w:r>
        <w:rPr>
          <w:rFonts w:ascii="Times New Roman" w:cs="Times New Roman" w:eastAsia="Times New Roman" w:hAnsi="Times New Roman"/>
          <w:sz w:val="24"/>
          <w:szCs w:val="24"/>
        </w:rPr>
        <w:t xml:space="preserve">These estimates are conservative given that Khmer is a lower-resource language than Arabic or Dutch, meaning less pre-training data is available for the multilingual encoders. However, the cross-lingual enhancement and domain adaptation strategies are expected to partially compensate for this limitation.</w:t>
      </w:r>
    </w:p>
    <w:p>
      <w:pPr>
        <w:pStyle w:val="Heading2"/>
        <w:spacing w:before="280" w:after="200" w:line="360"/>
        <w:jc w:val="left"/>
      </w:pPr>
      <w:r>
        <w:rPr>
          <w:rFonts w:ascii="Times New Roman" w:cs="Times New Roman" w:eastAsia="Times New Roman" w:hAnsi="Times New Roman"/>
          <w:b/>
          <w:bCs/>
          <w:sz w:val="26"/>
          <w:szCs w:val="26"/>
        </w:rPr>
        <w:t xml:space="preserve">5.2 Explainability Evaluation</w:t>
      </w:r>
    </w:p>
    <w:p>
      <w:pPr>
        <w:spacing w:after="200" w:line="360"/>
        <w:jc w:val="both"/>
      </w:pPr>
      <w:r>
        <w:rPr>
          <w:rFonts w:ascii="Times New Roman" w:cs="Times New Roman" w:eastAsia="Times New Roman" w:hAnsi="Times New Roman"/>
          <w:sz w:val="24"/>
          <w:szCs w:val="24"/>
        </w:rPr>
        <w:t xml:space="preserve">Explanation quality will be evaluated on multiple dimensions. For plausibility, we expect IOU F1 scores between 0.15-0.30, comparable to Tornqvist et al.'s (2023) results and the Indic language XAI comparison where SHAP achieved IOU F1 of 0.16-0.26 across encoder configurations. For faithfulness, comprehensiveness scores of 0.10-0.30 and sufficiency scores below 0.15 are anticipated based on comparable studies. Human evaluation is expected to show moderate to high ratings (3.0-4.0 on 5-point Likert) for relevance and clarity, with potentially lower ratings for specificity given the novelty of the task for Khmer.</w:t>
      </w:r>
    </w:p>
    <w:p>
      <w:pPr>
        <w:pStyle w:val="Heading2"/>
        <w:spacing w:before="280" w:after="200" w:line="360"/>
        <w:jc w:val="left"/>
      </w:pPr>
      <w:r>
        <w:rPr>
          <w:rFonts w:ascii="Times New Roman" w:cs="Times New Roman" w:eastAsia="Times New Roman" w:hAnsi="Times New Roman"/>
          <w:b/>
          <w:bCs/>
          <w:sz w:val="26"/>
          <w:szCs w:val="26"/>
        </w:rPr>
        <w:t xml:space="preserve">5.3 Cross-Lingual Transfer Analysis</w:t>
      </w:r>
    </w:p>
    <w:p>
      <w:pPr>
        <w:spacing w:after="200" w:line="360"/>
        <w:jc w:val="both"/>
      </w:pPr>
      <w:r>
        <w:rPr>
          <w:rFonts w:ascii="Times New Roman" w:cs="Times New Roman" w:eastAsia="Times New Roman" w:hAnsi="Times New Roman"/>
          <w:sz w:val="24"/>
          <w:szCs w:val="24"/>
        </w:rPr>
        <w:t xml:space="preserve">Building on Li and He's (2024) finding that zero-shot cross-lingual scoring achieves average QWK of 0.568 across six European languages, we hypothesize that transfer to Khmer will yield lower but meaningful performance (QWK 0.35-0.45) due to the greater linguistic distance between Khmer and the source languages. Visualization analysis using t-SNE will examine whether cross-lingual contrastive learning successfully clusters Khmer essays by quality, as observed for European languages. The analysis will also explore whether the limited impact of source-target language similarity found by Li and He (2024) extends to typologically distant language pairs.</w:t>
      </w:r>
    </w:p>
    <w:p>
      <w:pPr>
        <w:pStyle w:val="Heading2"/>
        <w:spacing w:before="280" w:after="200" w:line="360"/>
        <w:jc w:val="left"/>
      </w:pPr>
      <w:r>
        <w:rPr>
          <w:rFonts w:ascii="Times New Roman" w:cs="Times New Roman" w:eastAsia="Times New Roman" w:hAnsi="Times New Roman"/>
          <w:b/>
          <w:bCs/>
          <w:sz w:val="26"/>
          <w:szCs w:val="26"/>
        </w:rPr>
        <w:t xml:space="preserve">5.4 Comparison with Baselines</w:t>
      </w:r>
    </w:p>
    <w:p>
      <w:pPr>
        <w:spacing w:after="200" w:line="360"/>
        <w:jc w:val="both"/>
      </w:pPr>
      <w:r>
        <w:rPr>
          <w:rFonts w:ascii="Times New Roman" w:cs="Times New Roman" w:eastAsia="Times New Roman" w:hAnsi="Times New Roman"/>
          <w:sz w:val="24"/>
          <w:szCs w:val="24"/>
        </w:rPr>
        <w:t xml:space="preserve">The full KhmerXScore system is expected to outperform all baselines on scoring accuracy while providing explanations that non-baseline models cannot. GPT-4 with few-shot prompting may achieve comparable or slightly lower scoring accuracy but will serve as a strong comparison for explanation quality, given its ability to generate natural-language justifications. The comparison will illuminate the trade-offs between fine-tuned models (better accuracy, post-hoc explanations) and LLMs (built-in explainability, no training data needed but less precise scoring).</w:t>
      </w:r>
    </w:p>
    <w:p>
      <w:pPr>
        <w:pStyle w:val="Heading2"/>
        <w:spacing w:before="280" w:after="200" w:line="360"/>
        <w:jc w:val="left"/>
      </w:pPr>
      <w:r>
        <w:rPr>
          <w:rFonts w:ascii="Times New Roman" w:cs="Times New Roman" w:eastAsia="Times New Roman" w:hAnsi="Times New Roman"/>
          <w:b/>
          <w:bCs/>
          <w:sz w:val="26"/>
          <w:szCs w:val="26"/>
        </w:rPr>
        <w:t xml:space="preserve">5.5 Human Evaluation</w:t>
      </w:r>
    </w:p>
    <w:p>
      <w:pPr>
        <w:spacing w:after="200" w:line="360"/>
        <w:jc w:val="both"/>
      </w:pPr>
      <w:r>
        <w:rPr>
          <w:rFonts w:ascii="Times New Roman" w:cs="Times New Roman" w:eastAsia="Times New Roman" w:hAnsi="Times New Roman"/>
          <w:sz w:val="24"/>
          <w:szCs w:val="24"/>
        </w:rPr>
        <w:t xml:space="preserve">The human evaluation with 10-15 Cambodian educators will assess: (a) perceived accuracy of automated scores compared to their own judgments; (b) quality and usefulness of generated explanations for understanding scoring decisions; (c) pedagogical value of explanations for providing student feedback; (d) trust in the system for assisting with grading tasks; and (e) willingness to adopt such a system in their teaching practice. We anticipate generally positive reception with specific concerns about cultural sensitivity and edge cases that automated systems may not handle well.</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6: Discussion</w:t>
      </w:r>
    </w:p>
    <w:p>
      <w:pPr>
        <w:spacing w:after="200" w:line="360"/>
        <w:jc w:val="both"/>
      </w:pPr>
      <w:r>
        <w:rPr>
          <w:rFonts w:ascii="Times New Roman" w:cs="Times New Roman" w:eastAsia="Times New Roman" w:hAnsi="Times New Roman"/>
          <w:sz w:val="24"/>
          <w:szCs w:val="24"/>
        </w:rPr>
        <w:t xml:space="preserve">This chapter discusses the anticipated findings in relation to the four research questions, situating results within the broader literature and examining theoretical and practical implications.</w:t>
      </w:r>
    </w:p>
    <w:p>
      <w:pPr>
        <w:spacing w:after="200" w:line="360"/>
        <w:jc w:val="both"/>
      </w:pPr>
      <w:r>
        <w:rPr>
          <w:rFonts w:ascii="Times New Roman" w:cs="Times New Roman" w:eastAsia="Times New Roman" w:hAnsi="Times New Roman"/>
          <w:sz w:val="24"/>
          <w:szCs w:val="24"/>
        </w:rPr>
        <w:t xml:space="preserve">Regarding RQ1 (model adaptation for Khmer), the results are expected to demonstrate that multilingual transformers can be effectively adapted for Khmer ASAG despite the language's complex script and limited training data. The character-level tokenization strategy is hypothesized to be particularly important, as it bypasses word segmentation errors that could propagate through the system. This finding would extend Li and He's (2024) cross-lingual transfer findings to a Southeast Asian language, demonstrating that multilingual representations capture scoring-relevant features even for typologically distant languages.</w:t>
      </w:r>
    </w:p>
    <w:p>
      <w:pPr>
        <w:spacing w:after="200" w:line="360"/>
        <w:jc w:val="both"/>
      </w:pPr>
      <w:r>
        <w:rPr>
          <w:rFonts w:ascii="Times New Roman" w:cs="Times New Roman" w:eastAsia="Times New Roman" w:hAnsi="Times New Roman"/>
          <w:sz w:val="24"/>
          <w:szCs w:val="24"/>
        </w:rPr>
        <w:t xml:space="preserve">Regarding RQ2 (XAI effectiveness), the dual-layer explainability approach is expected to provide complementary insights: SHAP and Integrated Gradients offer fine-grained, token-level attributions suitable for technical debugging and detailed analysis, while CoT prompting generates holistic, pedagogically oriented explanations more accessible to educators and students. This finding would support Kumar and Boulanger's (2020) argument that XAI has genuine pedagogical value beyond model debugging, extended to a low-resource language context.</w:t>
      </w:r>
    </w:p>
    <w:p>
      <w:pPr>
        <w:spacing w:after="200" w:line="360"/>
        <w:jc w:val="both"/>
      </w:pPr>
      <w:r>
        <w:rPr>
          <w:rFonts w:ascii="Times New Roman" w:cs="Times New Roman" w:eastAsia="Times New Roman" w:hAnsi="Times New Roman"/>
          <w:sz w:val="24"/>
          <w:szCs w:val="24"/>
        </w:rPr>
        <w:t xml:space="preserve">Regarding RQ3 (cross-lingual transfer), performance on zero-shot cross-lingual scoring is expected to be lower for Khmer than for European languages, but still meaningful enough to bootstrap automated scoring in the absence of large Khmer training datasets. This would contribute empirical evidence on the boundaries of cross-lingual scoring transfer, addressing Li and He's (2024) future work direction of including more diverse language families.</w:t>
      </w:r>
    </w:p>
    <w:p>
      <w:pPr>
        <w:spacing w:after="200" w:line="360"/>
        <w:jc w:val="both"/>
      </w:pPr>
      <w:r>
        <w:rPr>
          <w:rFonts w:ascii="Times New Roman" w:cs="Times New Roman" w:eastAsia="Times New Roman" w:hAnsi="Times New Roman"/>
          <w:sz w:val="24"/>
          <w:szCs w:val="24"/>
        </w:rPr>
        <w:t xml:space="preserve">Regarding RQ4 (educator perceptions), the qualitative evaluation is expected to reveal that Cambodian educators value both the scoring assistance and the transparency provided by explanations, but may express concerns about cultural appropriateness, handling of dialectal variations, and the system's ability to recognize creative or unconventional but correct answers. These insights would inform design guidelines for deploying educational AI in Southeast Asian contexts.</w:t>
      </w:r>
    </w:p>
    <w:p>
      <w:pPr>
        <w:spacing w:after="200" w:line="360"/>
        <w:jc w:val="both"/>
      </w:pPr>
      <w:r>
        <w:rPr>
          <w:rFonts w:ascii="Times New Roman" w:cs="Times New Roman" w:eastAsia="Times New Roman" w:hAnsi="Times New Roman"/>
          <w:sz w:val="24"/>
          <w:szCs w:val="24"/>
        </w:rPr>
        <w:t xml:space="preserve">The broader implications of this work extend to the growing field of educational AI for under-resourced languages. By demonstrating a methodology for combining multilingual representations, cross-lingual transfer, and XAI for a non-Latin low-resource language, this thesis provides a replicable template for researchers working on other under-resourced languages in the region, including Lao, Myanmar, and Thai.</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Chapter 7: Conclusion and Future Work</w:t>
      </w:r>
    </w:p>
    <w:p>
      <w:pPr>
        <w:pStyle w:val="Heading2"/>
        <w:spacing w:before="280" w:after="200" w:line="360"/>
        <w:jc w:val="left"/>
      </w:pPr>
      <w:r>
        <w:rPr>
          <w:rFonts w:ascii="Times New Roman" w:cs="Times New Roman" w:eastAsia="Times New Roman" w:hAnsi="Times New Roman"/>
          <w:b/>
          <w:bCs/>
          <w:sz w:val="26"/>
          <w:szCs w:val="26"/>
        </w:rPr>
        <w:t xml:space="preserve">7.1 Summary of Contributions</w:t>
      </w:r>
    </w:p>
    <w:p>
      <w:pPr>
        <w:spacing w:after="200" w:line="360"/>
        <w:jc w:val="both"/>
      </w:pPr>
      <w:r>
        <w:rPr>
          <w:rFonts w:ascii="Times New Roman" w:cs="Times New Roman" w:eastAsia="Times New Roman" w:hAnsi="Times New Roman"/>
          <w:sz w:val="24"/>
          <w:szCs w:val="24"/>
        </w:rPr>
        <w:t xml:space="preserve">This thesis makes five primary contributions to the fields of educational NLP, XAI, and Khmer language processing:</w:t>
      </w:r>
    </w:p>
    <w:p>
      <w:pPr>
        <w:spacing w:after="200" w:line="360"/>
        <w:jc w:val="both"/>
      </w:pPr>
      <w:r>
        <w:rPr>
          <w:rFonts w:ascii="Times New Roman" w:cs="Times New Roman" w:eastAsia="Times New Roman" w:hAnsi="Times New Roman"/>
          <w:sz w:val="24"/>
          <w:szCs w:val="24"/>
        </w:rPr>
        <w:t xml:space="preserve">First, it introduces KhmerXScore, the first automated scoring system for Khmer short-answer questions, demonstrating that modern NLP techniques can be adapted for an under-resourced Southeast Asian language with a complex non-Latin script.</w:t>
      </w:r>
    </w:p>
    <w:p>
      <w:pPr>
        <w:spacing w:after="200" w:line="360"/>
        <w:jc w:val="both"/>
      </w:pPr>
      <w:r>
        <w:rPr>
          <w:rFonts w:ascii="Times New Roman" w:cs="Times New Roman" w:eastAsia="Times New Roman" w:hAnsi="Times New Roman"/>
          <w:sz w:val="24"/>
          <w:szCs w:val="24"/>
        </w:rPr>
        <w:t xml:space="preserve">Second, it proposes a novel dual-layer explainability architecture combining post-hoc attribution methods with rubric-aligned CoT prompting, providing both technical transparency and pedagogically meaningful explanations in Khmer.</w:t>
      </w:r>
    </w:p>
    <w:p>
      <w:pPr>
        <w:spacing w:after="200" w:line="360"/>
        <w:jc w:val="both"/>
      </w:pPr>
      <w:r>
        <w:rPr>
          <w:rFonts w:ascii="Times New Roman" w:cs="Times New Roman" w:eastAsia="Times New Roman" w:hAnsi="Times New Roman"/>
          <w:sz w:val="24"/>
          <w:szCs w:val="24"/>
        </w:rPr>
        <w:t xml:space="preserve">Third, it contributes empirical evidence on cross-lingual scoring transfer to a Southeast Asian language, extending the boundaries of zero-shot cross-lingual AES research beyond Indo-European languages.</w:t>
      </w:r>
    </w:p>
    <w:p>
      <w:pPr>
        <w:spacing w:after="200" w:line="360"/>
        <w:jc w:val="both"/>
      </w:pPr>
      <w:r>
        <w:rPr>
          <w:rFonts w:ascii="Times New Roman" w:cs="Times New Roman" w:eastAsia="Times New Roman" w:hAnsi="Times New Roman"/>
          <w:sz w:val="24"/>
          <w:szCs w:val="24"/>
        </w:rPr>
        <w:t xml:space="preserve">Fourth, it creates and releases the KhmerSAG dataset, the first annotated corpus of Khmer short-answer responses with reference answers, rubric-based scores, and human-annotated justifications, catalyzing further research in Khmer educational NLP.</w:t>
      </w:r>
    </w:p>
    <w:p>
      <w:pPr>
        <w:spacing w:after="200" w:line="360"/>
        <w:jc w:val="both"/>
      </w:pPr>
      <w:r>
        <w:rPr>
          <w:rFonts w:ascii="Times New Roman" w:cs="Times New Roman" w:eastAsia="Times New Roman" w:hAnsi="Times New Roman"/>
          <w:sz w:val="24"/>
          <w:szCs w:val="24"/>
        </w:rPr>
        <w:t xml:space="preserve">Fifth, it provides qualitative insights from Cambodian educators on the perceived value, trustworthiness, and cultural appropriateness of XAI-enhanced automated scoring, informing the design of educational AI systems for Southeast Asian contexts.</w:t>
      </w:r>
    </w:p>
    <w:p>
      <w:pPr>
        <w:pStyle w:val="Heading2"/>
        <w:spacing w:before="280" w:after="200" w:line="360"/>
        <w:jc w:val="left"/>
      </w:pPr>
      <w:r>
        <w:rPr>
          <w:rFonts w:ascii="Times New Roman" w:cs="Times New Roman" w:eastAsia="Times New Roman" w:hAnsi="Times New Roman"/>
          <w:b/>
          <w:bCs/>
          <w:sz w:val="26"/>
          <w:szCs w:val="26"/>
        </w:rPr>
        <w:t xml:space="preserve">7.2 Limitations</w:t>
      </w:r>
    </w:p>
    <w:p>
      <w:pPr>
        <w:spacing w:after="200" w:line="360"/>
        <w:jc w:val="both"/>
      </w:pPr>
      <w:r>
        <w:rPr>
          <w:rFonts w:ascii="Times New Roman" w:cs="Times New Roman" w:eastAsia="Times New Roman" w:hAnsi="Times New Roman"/>
          <w:sz w:val="24"/>
          <w:szCs w:val="24"/>
        </w:rPr>
        <w:t xml:space="preserve">Several limitations should be acknowledged. The KhmerSAG dataset, while pioneering, is limited in size compared to English benchmarks like ASAP, potentially constraining model performance. The cross-lingual experiments are limited by the availability of multilingual essay datasets, particularly for languages more closely related to Khmer. The human evaluation involves a limited number of educators from selected institutions and may not represent the full diversity of Cambodian educational contexts. Finally, the system evaluates content correctness for short answers and does not assess writing quality, limiting its applicability to certain assessment types.</w:t>
      </w:r>
    </w:p>
    <w:p>
      <w:pPr>
        <w:pStyle w:val="Heading2"/>
        <w:spacing w:before="280" w:after="200" w:line="360"/>
        <w:jc w:val="left"/>
      </w:pPr>
      <w:r>
        <w:rPr>
          <w:rFonts w:ascii="Times New Roman" w:cs="Times New Roman" w:eastAsia="Times New Roman" w:hAnsi="Times New Roman"/>
          <w:b/>
          <w:bCs/>
          <w:sz w:val="26"/>
          <w:szCs w:val="26"/>
        </w:rPr>
        <w:t xml:space="preserve">7.3 Future Work</w:t>
      </w:r>
    </w:p>
    <w:p>
      <w:pPr>
        <w:spacing w:after="200" w:line="360"/>
        <w:jc w:val="both"/>
      </w:pPr>
      <w:r>
        <w:rPr>
          <w:rFonts w:ascii="Times New Roman" w:cs="Times New Roman" w:eastAsia="Times New Roman" w:hAnsi="Times New Roman"/>
          <w:sz w:val="24"/>
          <w:szCs w:val="24"/>
        </w:rPr>
        <w:t xml:space="preserve">Several directions for future research emerge from this work. Expanding the KhmerSAG dataset in size, subject coverage, and education levels would improve model performance and generalizability. Developing a Khmer-specific language model pre-trained on a large Khmer corpus, similar to RobBERT for Dutch, could significantly enhance both scoring accuracy and explanation quality. Exploring multi-aspect scoring that evaluates not only content correctness but also Khmer language quality, argumentation structure, and presentation would provide more comprehensive assessment. Investigating adaptive feedback mechanisms that personalize explanations based on student proficiency levels could enhance pedagogical impact. Conducting large-scale deployment studies in Cambodian schools would provide real-world evidence of the system's effectiveness and identify implementation challenges. Finally, extending the methodology to other under-resourced Southeast Asian languages such as Lao, which shares structural similarities with Khmer, would test the generalizability of the approach.</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References</w:t>
      </w:r>
    </w:p>
    <w:p>
      <w:pPr>
        <w:spacing w:after="120" w:line="276"/>
        <w:jc w:val="both"/>
      </w:pPr>
      <w:r>
        <w:rPr>
          <w:rFonts w:ascii="Times New Roman" w:cs="Times New Roman" w:eastAsia="Times New Roman" w:hAnsi="Times New Roman"/>
          <w:sz w:val="20"/>
          <w:szCs w:val="20"/>
        </w:rPr>
        <w:t xml:space="preserve">Adadi, A., &amp; Berrada, M. (2018). Peeking inside the black-box: A survey on explainable AI. IEEE Access, 6, 52138-52160.</w:t>
      </w:r>
    </w:p>
    <w:p>
      <w:pPr>
        <w:spacing w:after="120" w:line="276"/>
        <w:jc w:val="both"/>
      </w:pPr>
      <w:r>
        <w:rPr>
          <w:rFonts w:ascii="Times New Roman" w:cs="Times New Roman" w:eastAsia="Times New Roman" w:hAnsi="Times New Roman"/>
          <w:sz w:val="20"/>
          <w:szCs w:val="20"/>
        </w:rPr>
        <w:t xml:space="preserve">Alqurashi, F., et al. (2025). An automatic grading system for Arabic language short-answer questions. ETASR, 15(5), 26665-26675.</w:t>
      </w:r>
    </w:p>
    <w:p>
      <w:pPr>
        <w:spacing w:after="120" w:line="276"/>
        <w:jc w:val="both"/>
      </w:pPr>
      <w:r>
        <w:rPr>
          <w:rFonts w:ascii="Times New Roman" w:cs="Times New Roman" w:eastAsia="Times New Roman" w:hAnsi="Times New Roman"/>
          <w:sz w:val="20"/>
          <w:szCs w:val="20"/>
        </w:rPr>
        <w:t xml:space="preserve">Arrieta, A. B., et al. (2020). Explainable Artificial Intelligence (XAI): Concepts, taxonomies, opportunities and challenges. Information Fusion, 58, 82-115.</w:t>
      </w:r>
    </w:p>
    <w:p>
      <w:pPr>
        <w:spacing w:after="120" w:line="276"/>
        <w:jc w:val="both"/>
      </w:pPr>
      <w:r>
        <w:rPr>
          <w:rFonts w:ascii="Times New Roman" w:cs="Times New Roman" w:eastAsia="Times New Roman" w:hAnsi="Times New Roman"/>
          <w:sz w:val="20"/>
          <w:szCs w:val="20"/>
        </w:rPr>
        <w:t xml:space="preserve">Attali, Y., &amp; Burstein, J. (2006). Automated essay scoring with e-rater v. 2. JTLA, 4(3).</w:t>
      </w:r>
    </w:p>
    <w:p>
      <w:pPr>
        <w:spacing w:after="120" w:line="276"/>
        <w:jc w:val="both"/>
      </w:pPr>
      <w:r>
        <w:rPr>
          <w:rFonts w:ascii="Times New Roman" w:cs="Times New Roman" w:eastAsia="Times New Roman" w:hAnsi="Times New Roman"/>
          <w:sz w:val="20"/>
          <w:szCs w:val="20"/>
        </w:rPr>
        <w:t xml:space="preserve">Belle, V., &amp; Papantonis, I. (2021). Principles and practice of explainable machine learning. Frontiers in Big Data, 4, 688969.</w:t>
      </w:r>
    </w:p>
    <w:p>
      <w:pPr>
        <w:spacing w:after="120" w:line="276"/>
        <w:jc w:val="both"/>
      </w:pPr>
      <w:r>
        <w:rPr>
          <w:rFonts w:ascii="Times New Roman" w:cs="Times New Roman" w:eastAsia="Times New Roman" w:hAnsi="Times New Roman"/>
          <w:sz w:val="20"/>
          <w:szCs w:val="20"/>
        </w:rPr>
        <w:t xml:space="preserve">Bi, N., &amp; Taing, N. (2014). Khmer word segmentation based on bidirectional maximal matching. APSIPA.</w:t>
      </w:r>
    </w:p>
    <w:p>
      <w:pPr>
        <w:spacing w:after="120" w:line="276"/>
        <w:jc w:val="both"/>
      </w:pPr>
      <w:r>
        <w:rPr>
          <w:rFonts w:ascii="Times New Roman" w:cs="Times New Roman" w:eastAsia="Times New Roman" w:hAnsi="Times New Roman"/>
          <w:sz w:val="20"/>
          <w:szCs w:val="20"/>
        </w:rPr>
        <w:t xml:space="preserve">Bojanowski, P., et al. (2017). Enriching word vectors with subword information. TACL, 5, 135-146.</w:t>
      </w:r>
    </w:p>
    <w:p>
      <w:pPr>
        <w:spacing w:after="120" w:line="276"/>
        <w:jc w:val="both"/>
      </w:pPr>
      <w:r>
        <w:rPr>
          <w:rFonts w:ascii="Times New Roman" w:cs="Times New Roman" w:eastAsia="Times New Roman" w:hAnsi="Times New Roman"/>
          <w:sz w:val="20"/>
          <w:szCs w:val="20"/>
        </w:rPr>
        <w:t xml:space="preserve">Buoy, R., Taing, N., &amp; Chenda, S. (2021). Khmer word search: Challenges, solutions, and semantic-aware search. arXiv:2112.08918.</w:t>
      </w:r>
    </w:p>
    <w:p>
      <w:pPr>
        <w:spacing w:after="120" w:line="276"/>
        <w:jc w:val="both"/>
      </w:pPr>
      <w:r>
        <w:rPr>
          <w:rFonts w:ascii="Times New Roman" w:cs="Times New Roman" w:eastAsia="Times New Roman" w:hAnsi="Times New Roman"/>
          <w:sz w:val="20"/>
          <w:szCs w:val="20"/>
        </w:rPr>
        <w:t xml:space="preserve">Burrows, S., Gurevych, I., &amp; Stein, B. (2015). The eras and trends of automatic short answer grading. IJAIED, 25(1), 60-117.</w:t>
      </w:r>
    </w:p>
    <w:p>
      <w:pPr>
        <w:spacing w:after="120" w:line="276"/>
        <w:jc w:val="both"/>
      </w:pPr>
      <w:r>
        <w:rPr>
          <w:rFonts w:ascii="Times New Roman" w:cs="Times New Roman" w:eastAsia="Times New Roman" w:hAnsi="Times New Roman"/>
          <w:sz w:val="20"/>
          <w:szCs w:val="20"/>
        </w:rPr>
        <w:t xml:space="preserve">Cer, D., et al. (2018). Universal sentence encoder for English. EMNLP Demos, 169-174.</w:t>
      </w:r>
    </w:p>
    <w:p>
      <w:pPr>
        <w:spacing w:after="120" w:line="276"/>
        <w:jc w:val="both"/>
      </w:pPr>
      <w:r>
        <w:rPr>
          <w:rFonts w:ascii="Times New Roman" w:cs="Times New Roman" w:eastAsia="Times New Roman" w:hAnsi="Times New Roman"/>
          <w:sz w:val="20"/>
          <w:szCs w:val="20"/>
        </w:rPr>
        <w:t xml:space="preserve">Condor, A., et al. (2024). Explainable automatic grading with neural additive models. arXiv:2405.00489.</w:t>
      </w:r>
    </w:p>
    <w:p>
      <w:pPr>
        <w:spacing w:after="120" w:line="276"/>
        <w:jc w:val="both"/>
      </w:pPr>
      <w:r>
        <w:rPr>
          <w:rFonts w:ascii="Times New Roman" w:cs="Times New Roman" w:eastAsia="Times New Roman" w:hAnsi="Times New Roman"/>
          <w:sz w:val="20"/>
          <w:szCs w:val="20"/>
        </w:rPr>
        <w:t xml:space="preserve">Del Gobbo, E., et al. (2023). GradeAid: A framework for automatic short answers grading. KAIS, 65(10), 4295-4334.</w:t>
      </w:r>
    </w:p>
    <w:p>
      <w:pPr>
        <w:spacing w:after="120" w:line="276"/>
        <w:jc w:val="both"/>
      </w:pPr>
      <w:r>
        <w:rPr>
          <w:rFonts w:ascii="Times New Roman" w:cs="Times New Roman" w:eastAsia="Times New Roman" w:hAnsi="Times New Roman"/>
          <w:sz w:val="20"/>
          <w:szCs w:val="20"/>
        </w:rPr>
        <w:t xml:space="preserve">Devlin, J., et al. (2019). BERT: Pre-training of deep bidirectional transformers. NAACL-HLT, 4171-4186.</w:t>
      </w:r>
    </w:p>
    <w:p>
      <w:pPr>
        <w:spacing w:after="120" w:line="276"/>
        <w:jc w:val="both"/>
      </w:pPr>
      <w:r>
        <w:rPr>
          <w:rFonts w:ascii="Times New Roman" w:cs="Times New Roman" w:eastAsia="Times New Roman" w:hAnsi="Times New Roman"/>
          <w:sz w:val="20"/>
          <w:szCs w:val="20"/>
        </w:rPr>
        <w:t xml:space="preserve">Doshi-Velez, F., &amp; Kim, B. (2017). Towards a rigorous science of interpretable ML. arXiv:1702.08608.</w:t>
      </w:r>
    </w:p>
    <w:p>
      <w:pPr>
        <w:spacing w:after="120" w:line="276"/>
        <w:jc w:val="both"/>
      </w:pPr>
      <w:r>
        <w:rPr>
          <w:rFonts w:ascii="Times New Roman" w:cs="Times New Roman" w:eastAsia="Times New Roman" w:hAnsi="Times New Roman"/>
          <w:sz w:val="20"/>
          <w:szCs w:val="20"/>
        </w:rPr>
        <w:t xml:space="preserve">Fiacco, J., Adamson, D., &amp; Rose, C. (2023). Towards extracting implicit rubrics of transformer AES models. BEA, 232-241.</w:t>
      </w:r>
    </w:p>
    <w:p>
      <w:pPr>
        <w:spacing w:after="120" w:line="276"/>
        <w:jc w:val="both"/>
      </w:pPr>
      <w:r>
        <w:rPr>
          <w:rFonts w:ascii="Times New Roman" w:cs="Times New Roman" w:eastAsia="Times New Roman" w:hAnsi="Times New Roman"/>
          <w:sz w:val="20"/>
          <w:szCs w:val="20"/>
        </w:rPr>
        <w:t xml:space="preserve">Firoozi, T., et al. (2024). Automated procedures to score essays in three languages. J. Educational Measurement.</w:t>
      </w:r>
    </w:p>
    <w:p>
      <w:pPr>
        <w:spacing w:after="120" w:line="276"/>
        <w:jc w:val="both"/>
      </w:pPr>
      <w:r>
        <w:rPr>
          <w:rFonts w:ascii="Times New Roman" w:cs="Times New Roman" w:eastAsia="Times New Roman" w:hAnsi="Times New Roman"/>
          <w:sz w:val="20"/>
          <w:szCs w:val="20"/>
        </w:rPr>
        <w:t xml:space="preserve">Foltz, P. W., Laham, D., &amp; Landauer, T. K. (1999). The Intelligent Essay Assessor. IMEJCEL, 1(2).</w:t>
      </w:r>
    </w:p>
    <w:p>
      <w:pPr>
        <w:spacing w:after="120" w:line="276"/>
        <w:jc w:val="both"/>
      </w:pPr>
      <w:r>
        <w:rPr>
          <w:rFonts w:ascii="Times New Roman" w:cs="Times New Roman" w:eastAsia="Times New Roman" w:hAnsi="Times New Roman"/>
          <w:sz w:val="20"/>
          <w:szCs w:val="20"/>
        </w:rPr>
        <w:t xml:space="preserve">Gong, T., &amp; Yao, X. (2019). An attention-based deep model for automatic short answer score. IJCSSE, 8(6), 127-132.</w:t>
      </w:r>
    </w:p>
    <w:p>
      <w:pPr>
        <w:spacing w:after="120" w:line="276"/>
        <w:jc w:val="both"/>
      </w:pPr>
      <w:r>
        <w:rPr>
          <w:rFonts w:ascii="Times New Roman" w:cs="Times New Roman" w:eastAsia="Times New Roman" w:hAnsi="Times New Roman"/>
          <w:sz w:val="20"/>
          <w:szCs w:val="20"/>
        </w:rPr>
        <w:t xml:space="preserve">Hassan, S., et al. (2018). Automatic short answer scoring based on paragraph embeddings. IJACSA, 9(10), 397-402.</w:t>
      </w:r>
    </w:p>
    <w:p>
      <w:pPr>
        <w:spacing w:after="120" w:line="276"/>
        <w:jc w:val="both"/>
      </w:pPr>
      <w:r>
        <w:rPr>
          <w:rFonts w:ascii="Times New Roman" w:cs="Times New Roman" w:eastAsia="Times New Roman" w:hAnsi="Times New Roman"/>
          <w:sz w:val="20"/>
          <w:szCs w:val="20"/>
        </w:rPr>
        <w:t xml:space="preserve">Kudo, T. (2018). SentencePiece: A simple and language independent subword tokenizer. arXiv:1808.06226.</w:t>
      </w:r>
    </w:p>
    <w:p>
      <w:pPr>
        <w:spacing w:after="120" w:line="276"/>
        <w:jc w:val="both"/>
      </w:pPr>
      <w:r>
        <w:rPr>
          <w:rFonts w:ascii="Times New Roman" w:cs="Times New Roman" w:eastAsia="Times New Roman" w:hAnsi="Times New Roman"/>
          <w:sz w:val="20"/>
          <w:szCs w:val="20"/>
        </w:rPr>
        <w:t xml:space="preserve">Kumar, V., &amp; Boulanger, D. (2020). Explainable automated essay scoring. Frontiers in Education, 5, 572367.</w:t>
      </w:r>
    </w:p>
    <w:p>
      <w:pPr>
        <w:spacing w:after="120" w:line="276"/>
        <w:jc w:val="both"/>
      </w:pPr>
      <w:r>
        <w:rPr>
          <w:rFonts w:ascii="Times New Roman" w:cs="Times New Roman" w:eastAsia="Times New Roman" w:hAnsi="Times New Roman"/>
          <w:sz w:val="20"/>
          <w:szCs w:val="20"/>
        </w:rPr>
        <w:t xml:space="preserve">Kunnecke, F., et al. (2024). Enhancing multi-domain ASAG through an explainable neuro-symbolic pipeline. arXiv:2403.01811.</w:t>
      </w:r>
    </w:p>
    <w:p>
      <w:pPr>
        <w:spacing w:after="120" w:line="276"/>
        <w:jc w:val="both"/>
      </w:pPr>
      <w:r>
        <w:rPr>
          <w:rFonts w:ascii="Times New Roman" w:cs="Times New Roman" w:eastAsia="Times New Roman" w:hAnsi="Times New Roman"/>
          <w:sz w:val="20"/>
          <w:szCs w:val="20"/>
        </w:rPr>
        <w:t xml:space="preserve">Lachana, N. (2025). Automated scoring systems for open-ended questions in Dutch education. Utrecht University.</w:t>
      </w:r>
    </w:p>
    <w:p>
      <w:pPr>
        <w:spacing w:after="120" w:line="276"/>
        <w:jc w:val="both"/>
      </w:pPr>
      <w:r>
        <w:rPr>
          <w:rFonts w:ascii="Times New Roman" w:cs="Times New Roman" w:eastAsia="Times New Roman" w:hAnsi="Times New Roman"/>
          <w:sz w:val="20"/>
          <w:szCs w:val="20"/>
        </w:rPr>
        <w:t xml:space="preserve">Landis, J. R., &amp; Koch, G. G. (1977). The measurement of observer agreement. Biometrics, 33, 159-174.</w:t>
      </w:r>
    </w:p>
    <w:p>
      <w:pPr>
        <w:spacing w:after="120" w:line="276"/>
        <w:jc w:val="both"/>
      </w:pPr>
      <w:r>
        <w:rPr>
          <w:rFonts w:ascii="Times New Roman" w:cs="Times New Roman" w:eastAsia="Times New Roman" w:hAnsi="Times New Roman"/>
          <w:sz w:val="20"/>
          <w:szCs w:val="20"/>
        </w:rPr>
        <w:t xml:space="preserve">Li, X., &amp; He, J. (2024). Zero-shot cross-lingual automated essay scoring. LREC-COLING, 17819-17832.</w:t>
      </w:r>
    </w:p>
    <w:p>
      <w:pPr>
        <w:spacing w:after="120" w:line="276"/>
        <w:jc w:val="both"/>
      </w:pPr>
      <w:r>
        <w:rPr>
          <w:rFonts w:ascii="Times New Roman" w:cs="Times New Roman" w:eastAsia="Times New Roman" w:hAnsi="Times New Roman"/>
          <w:sz w:val="20"/>
          <w:szCs w:val="20"/>
        </w:rPr>
        <w:t xml:space="preserve">Liang, G., et al. (2018). Automated essay scoring: A Siamese BiLSTM architecture. Symmetry, 10(12), 682.</w:t>
      </w:r>
    </w:p>
    <w:p>
      <w:pPr>
        <w:spacing w:after="120" w:line="276"/>
        <w:jc w:val="both"/>
      </w:pPr>
      <w:r>
        <w:rPr>
          <w:rFonts w:ascii="Times New Roman" w:cs="Times New Roman" w:eastAsia="Times New Roman" w:hAnsi="Times New Roman"/>
          <w:sz w:val="20"/>
          <w:szCs w:val="20"/>
        </w:rPr>
        <w:t xml:space="preserve">Lundberg, S. M., &amp; Lee, S.-I. (2017). A unified approach to interpreting model predictions. NeurIPS, 30.</w:t>
      </w:r>
    </w:p>
    <w:p>
      <w:pPr>
        <w:spacing w:after="120" w:line="276"/>
        <w:jc w:val="both"/>
      </w:pPr>
      <w:r>
        <w:rPr>
          <w:rFonts w:ascii="Times New Roman" w:cs="Times New Roman" w:eastAsia="Times New Roman" w:hAnsi="Times New Roman"/>
          <w:sz w:val="20"/>
          <w:szCs w:val="20"/>
        </w:rPr>
        <w:t xml:space="preserve">Page, E. B. (1966). The imminence of grading essays by computer. Phi Delta Kappan, 47(5), 238-243.</w:t>
      </w:r>
    </w:p>
    <w:p>
      <w:pPr>
        <w:spacing w:after="120" w:line="276"/>
        <w:jc w:val="both"/>
      </w:pPr>
      <w:r>
        <w:rPr>
          <w:rFonts w:ascii="Times New Roman" w:cs="Times New Roman" w:eastAsia="Times New Roman" w:hAnsi="Times New Roman"/>
          <w:sz w:val="20"/>
          <w:szCs w:val="20"/>
        </w:rPr>
        <w:t xml:space="preserve">Pennington, J., et al. (2014). GloVe: Global vectors for word representation. EMNLP, 1532-1543.</w:t>
      </w:r>
    </w:p>
    <w:p>
      <w:pPr>
        <w:spacing w:after="120" w:line="276"/>
        <w:jc w:val="both"/>
      </w:pPr>
      <w:r>
        <w:rPr>
          <w:rFonts w:ascii="Times New Roman" w:cs="Times New Roman" w:eastAsia="Times New Roman" w:hAnsi="Times New Roman"/>
          <w:sz w:val="20"/>
          <w:szCs w:val="20"/>
        </w:rPr>
        <w:t xml:space="preserve">Pribadi, F. S., et al. (2018). Short answer scoring using automatic reference answer generation. EIT, 23(6), 2855-2866.</w:t>
      </w:r>
    </w:p>
    <w:p>
      <w:pPr>
        <w:spacing w:after="120" w:line="276"/>
        <w:jc w:val="both"/>
      </w:pPr>
      <w:r>
        <w:rPr>
          <w:rFonts w:ascii="Times New Roman" w:cs="Times New Roman" w:eastAsia="Times New Roman" w:hAnsi="Times New Roman"/>
          <w:sz w:val="20"/>
          <w:szCs w:val="20"/>
        </w:rPr>
        <w:t xml:space="preserve">Rajagede, R. A., &amp; Hastuti, R. P. (2021). Stacking neural network models for ASAG. IOP MSE, 1077, 012013.</w:t>
      </w:r>
    </w:p>
    <w:p>
      <w:pPr>
        <w:spacing w:after="120" w:line="276"/>
        <w:jc w:val="both"/>
      </w:pPr>
      <w:r>
        <w:rPr>
          <w:rFonts w:ascii="Times New Roman" w:cs="Times New Roman" w:eastAsia="Times New Roman" w:hAnsi="Times New Roman"/>
          <w:sz w:val="20"/>
          <w:szCs w:val="20"/>
        </w:rPr>
        <w:t xml:space="preserve">Reimers, N., &amp; Gurevych, I. (2019). Sentence-BERT. arXiv:1908.10084.</w:t>
      </w:r>
    </w:p>
    <w:p>
      <w:pPr>
        <w:spacing w:after="120" w:line="276"/>
        <w:jc w:val="both"/>
      </w:pPr>
      <w:r>
        <w:rPr>
          <w:rFonts w:ascii="Times New Roman" w:cs="Times New Roman" w:eastAsia="Times New Roman" w:hAnsi="Times New Roman"/>
          <w:sz w:val="20"/>
          <w:szCs w:val="20"/>
        </w:rPr>
        <w:t xml:space="preserve">Ribeiro, M. T., et al. (2016). Why should I trust you? Explaining any classifier. KDD, 1135-1144.</w:t>
      </w:r>
    </w:p>
    <w:p>
      <w:pPr>
        <w:spacing w:after="120" w:line="276"/>
        <w:jc w:val="both"/>
      </w:pPr>
      <w:r>
        <w:rPr>
          <w:rFonts w:ascii="Times New Roman" w:cs="Times New Roman" w:eastAsia="Times New Roman" w:hAnsi="Times New Roman"/>
          <w:sz w:val="20"/>
          <w:szCs w:val="20"/>
        </w:rPr>
        <w:t xml:space="preserve">Riordan, B., et al. (2017). Investigating neural architectures for short answer scoring. BEA, 159-168.</w:t>
      </w:r>
    </w:p>
    <w:p>
      <w:pPr>
        <w:spacing w:after="120" w:line="276"/>
        <w:jc w:val="both"/>
      </w:pPr>
      <w:r>
        <w:rPr>
          <w:rFonts w:ascii="Times New Roman" w:cs="Times New Roman" w:eastAsia="Times New Roman" w:hAnsi="Times New Roman"/>
          <w:sz w:val="20"/>
          <w:szCs w:val="20"/>
        </w:rPr>
        <w:t xml:space="preserve">Sennrich, R. (2016). Neural machine translation of rare words with subword units. arXiv:1508.07909.</w:t>
      </w:r>
    </w:p>
    <w:p>
      <w:pPr>
        <w:spacing w:after="120" w:line="276"/>
        <w:jc w:val="both"/>
      </w:pPr>
      <w:r>
        <w:rPr>
          <w:rFonts w:ascii="Times New Roman" w:cs="Times New Roman" w:eastAsia="Times New Roman" w:hAnsi="Times New Roman"/>
          <w:sz w:val="20"/>
          <w:szCs w:val="20"/>
        </w:rPr>
        <w:t xml:space="preserve">Sundararajan, M., Taly, A., &amp; Yan, Q. (2017). Axiomatic attribution for deep networks. ICML, 3319-3328.</w:t>
      </w:r>
    </w:p>
    <w:p>
      <w:pPr>
        <w:spacing w:after="120" w:line="276"/>
        <w:jc w:val="both"/>
      </w:pPr>
      <w:r>
        <w:rPr>
          <w:rFonts w:ascii="Times New Roman" w:cs="Times New Roman" w:eastAsia="Times New Roman" w:hAnsi="Times New Roman"/>
          <w:sz w:val="20"/>
          <w:szCs w:val="20"/>
        </w:rPr>
        <w:t xml:space="preserve">Suriyasat, S., et al. (2023). Comparison of ML and NN algorithms for Thai essay scoring. JCSSE.</w:t>
      </w:r>
    </w:p>
    <w:p>
      <w:pPr>
        <w:spacing w:after="120" w:line="276"/>
        <w:jc w:val="both"/>
      </w:pPr>
      <w:r>
        <w:rPr>
          <w:rFonts w:ascii="Times New Roman" w:cs="Times New Roman" w:eastAsia="Times New Roman" w:hAnsi="Times New Roman"/>
          <w:sz w:val="20"/>
          <w:szCs w:val="20"/>
        </w:rPr>
        <w:t xml:space="preserve">Thuon, N. (2024). Khmer Semantic Search Engine (KSE). arXiv:2406.09320.</w:t>
      </w:r>
    </w:p>
    <w:p>
      <w:pPr>
        <w:spacing w:after="120" w:line="276"/>
        <w:jc w:val="both"/>
      </w:pPr>
      <w:r>
        <w:rPr>
          <w:rFonts w:ascii="Times New Roman" w:cs="Times New Roman" w:eastAsia="Times New Roman" w:hAnsi="Times New Roman"/>
          <w:sz w:val="20"/>
          <w:szCs w:val="20"/>
        </w:rPr>
        <w:t xml:space="preserve">Tornqvist, M., et al. (2023). ExASAG: Explainable framework for ASAG. BEA, 361-371.</w:t>
      </w:r>
    </w:p>
    <w:p>
      <w:pPr>
        <w:spacing w:after="120" w:line="276"/>
        <w:jc w:val="both"/>
      </w:pPr>
      <w:r>
        <w:rPr>
          <w:rFonts w:ascii="Times New Roman" w:cs="Times New Roman" w:eastAsia="Times New Roman" w:hAnsi="Times New Roman"/>
          <w:sz w:val="20"/>
          <w:szCs w:val="20"/>
        </w:rPr>
        <w:t xml:space="preserve">Tulu, C. N., et al. (2021). Automatic short answer grading with SemSpace and MaLSTM. IEEE Access, 9, 19270-19280.</w:t>
      </w:r>
    </w:p>
    <w:p>
      <w:pPr>
        <w:spacing w:after="120" w:line="276"/>
        <w:jc w:val="both"/>
      </w:pPr>
      <w:r>
        <w:rPr>
          <w:rFonts w:ascii="Times New Roman" w:cs="Times New Roman" w:eastAsia="Times New Roman" w:hAnsi="Times New Roman"/>
          <w:sz w:val="20"/>
          <w:szCs w:val="20"/>
        </w:rPr>
        <w:t xml:space="preserve">Wei, J., et al. (2022). Chain-of-thought prompting elicits reasoning in LLMs. NeurIPS, 35, 24824-24837.</w:t>
      </w:r>
    </w:p>
    <w:p>
      <w:pPr>
        <w:spacing w:after="120" w:line="276"/>
        <w:jc w:val="both"/>
      </w:pPr>
      <w:r>
        <w:rPr>
          <w:rFonts w:ascii="Times New Roman" w:cs="Times New Roman" w:eastAsia="Times New Roman" w:hAnsi="Times New Roman"/>
          <w:sz w:val="20"/>
          <w:szCs w:val="20"/>
        </w:rPr>
        <w:t xml:space="preserve">Xu, W., et al. (2025). Explainable AI for education: Enhancing essay scoring via rubric-aligned CoT. IJMPC, 37(6), 2542013.</w:t>
      </w:r>
    </w:p>
    <w:p>
      <w:pPr>
        <w:spacing w:after="120" w:line="276"/>
        <w:jc w:val="both"/>
      </w:pPr>
      <w:r>
        <w:rPr>
          <w:rFonts w:ascii="Times New Roman" w:cs="Times New Roman" w:eastAsia="Times New Roman" w:hAnsi="Times New Roman"/>
          <w:sz w:val="20"/>
          <w:szCs w:val="20"/>
        </w:rPr>
        <w:t xml:space="preserve">Zhang, L., et al. (2022). An automatic short-answer grading model for semi-open-ended questions. ILE, 30(1), 177-190.</w:t>
      </w:r>
    </w:p>
    <w:p>
      <w:r>
        <w:br w:type="page"/>
      </w:r>
    </w:p>
    <w:p>
      <w:pPr>
        <w:pStyle w:val="Heading1"/>
        <w:spacing w:before="360" w:after="240" w:line="360"/>
        <w:jc w:val="left"/>
      </w:pPr>
      <w:r>
        <w:rPr>
          <w:rFonts w:ascii="Times New Roman" w:cs="Times New Roman" w:eastAsia="Times New Roman" w:hAnsi="Times New Roman"/>
          <w:b/>
          <w:bCs/>
          <w:sz w:val="28"/>
          <w:szCs w:val="28"/>
        </w:rPr>
        <w:t xml:space="preserve">Appendices</w:t>
      </w:r>
    </w:p>
    <w:p>
      <w:pPr>
        <w:pStyle w:val="Heading2"/>
        <w:spacing w:before="280" w:after="200" w:line="360"/>
        <w:jc w:val="left"/>
      </w:pPr>
      <w:r>
        <w:rPr>
          <w:rFonts w:ascii="Times New Roman" w:cs="Times New Roman" w:eastAsia="Times New Roman" w:hAnsi="Times New Roman"/>
          <w:b/>
          <w:bCs/>
          <w:sz w:val="26"/>
          <w:szCs w:val="26"/>
        </w:rPr>
        <w:t xml:space="preserve">Appendix A: Sample Khmer Short-Answer Questions and Rubric</w:t>
      </w:r>
    </w:p>
    <w:p>
      <w:pPr>
        <w:spacing w:after="200" w:line="360"/>
        <w:jc w:val="both"/>
      </w:pPr>
      <w:r>
        <w:rPr>
          <w:rFonts w:ascii="Times New Roman" w:cs="Times New Roman" w:eastAsia="Times New Roman" w:hAnsi="Times New Roman"/>
          <w:sz w:val="24"/>
          <w:szCs w:val="24"/>
        </w:rPr>
        <w:t xml:space="preserve">(To be included with dataset examples showing questions, reference answers, scoring rubrics, and sample student responses with annotations in Khmer.)</w:t>
      </w:r>
    </w:p>
    <w:p>
      <w:pPr>
        <w:spacing w:after="200"/>
      </w:pPr>
    </w:p>
    <w:p>
      <w:pPr>
        <w:spacing w:after="200"/>
      </w:pPr>
    </w:p>
    <w:p>
      <w:pPr>
        <w:pStyle w:val="Heading2"/>
        <w:spacing w:before="280" w:after="200" w:line="360"/>
        <w:jc w:val="left"/>
      </w:pPr>
      <w:r>
        <w:rPr>
          <w:rFonts w:ascii="Times New Roman" w:cs="Times New Roman" w:eastAsia="Times New Roman" w:hAnsi="Times New Roman"/>
          <w:b/>
          <w:bCs/>
          <w:sz w:val="26"/>
          <w:szCs w:val="26"/>
        </w:rPr>
        <w:t xml:space="preserve">Appendix B: Hyperparameter Search Configurations</w:t>
      </w:r>
    </w:p>
    <w:p>
      <w:pPr>
        <w:spacing w:after="200" w:line="360"/>
        <w:jc w:val="both"/>
      </w:pPr>
      <w:r>
        <w:rPr>
          <w:rFonts w:ascii="Times New Roman" w:cs="Times New Roman" w:eastAsia="Times New Roman" w:hAnsi="Times New Roman"/>
          <w:sz w:val="24"/>
          <w:szCs w:val="24"/>
        </w:rPr>
        <w:t xml:space="preserve">(To be included with full grid search details for all model configurations.)</w:t>
      </w:r>
    </w:p>
    <w:p>
      <w:pPr>
        <w:spacing w:after="200"/>
      </w:pPr>
    </w:p>
    <w:p>
      <w:pPr>
        <w:spacing w:after="200"/>
      </w:pPr>
    </w:p>
    <w:p>
      <w:pPr>
        <w:pStyle w:val="Heading2"/>
        <w:spacing w:before="280" w:after="200" w:line="360"/>
        <w:jc w:val="left"/>
      </w:pPr>
      <w:r>
        <w:rPr>
          <w:rFonts w:ascii="Times New Roman" w:cs="Times New Roman" w:eastAsia="Times New Roman" w:hAnsi="Times New Roman"/>
          <w:b/>
          <w:bCs/>
          <w:sz w:val="26"/>
          <w:szCs w:val="26"/>
        </w:rPr>
        <w:t xml:space="preserve">Appendix C: CoT Prompt Templates</w:t>
      </w:r>
    </w:p>
    <w:p>
      <w:pPr>
        <w:spacing w:after="200" w:line="360"/>
        <w:jc w:val="both"/>
      </w:pPr>
      <w:r>
        <w:rPr>
          <w:rFonts w:ascii="Times New Roman" w:cs="Times New Roman" w:eastAsia="Times New Roman" w:hAnsi="Times New Roman"/>
          <w:sz w:val="24"/>
          <w:szCs w:val="24"/>
        </w:rPr>
        <w:t xml:space="preserve">(To be included with full rubric-aligned Chain-of-Thought prompt templates in both English and Khmer.)</w:t>
      </w:r>
    </w:p>
    <w:p>
      <w:pPr>
        <w:spacing w:after="200"/>
      </w:pPr>
    </w:p>
    <w:p>
      <w:pPr>
        <w:spacing w:after="200"/>
      </w:pPr>
    </w:p>
    <w:p>
      <w:pPr>
        <w:pStyle w:val="Heading2"/>
        <w:spacing w:before="280" w:after="200" w:line="360"/>
        <w:jc w:val="left"/>
      </w:pPr>
      <w:r>
        <w:rPr>
          <w:rFonts w:ascii="Times New Roman" w:cs="Times New Roman" w:eastAsia="Times New Roman" w:hAnsi="Times New Roman"/>
          <w:b/>
          <w:bCs/>
          <w:sz w:val="26"/>
          <w:szCs w:val="26"/>
        </w:rPr>
        <w:t xml:space="preserve">Appendix D: Educator Survey Instrument</w:t>
      </w:r>
    </w:p>
    <w:p>
      <w:pPr>
        <w:spacing w:after="200" w:line="360"/>
        <w:jc w:val="both"/>
      </w:pPr>
      <w:r>
        <w:rPr>
          <w:rFonts w:ascii="Times New Roman" w:cs="Times New Roman" w:eastAsia="Times New Roman" w:hAnsi="Times New Roman"/>
          <w:sz w:val="24"/>
          <w:szCs w:val="24"/>
        </w:rPr>
        <w:t xml:space="preserve">(To be included with the full questionnaire used for human evaluation by Cambodian educators.)</w:t>
      </w:r>
    </w:p>
    <w:p>
      <w:pPr>
        <w:spacing w:after="200"/>
      </w:pPr>
    </w:p>
    <w:p>
      <w:pPr>
        <w:spacing w:after="200"/>
      </w:pPr>
    </w:p>
    <w:p>
      <w:pPr>
        <w:pStyle w:val="Heading2"/>
        <w:spacing w:before="280" w:after="200" w:line="360"/>
        <w:jc w:val="left"/>
      </w:pPr>
      <w:r>
        <w:rPr>
          <w:rFonts w:ascii="Times New Roman" w:cs="Times New Roman" w:eastAsia="Times New Roman" w:hAnsi="Times New Roman"/>
          <w:b/>
          <w:bCs/>
          <w:sz w:val="26"/>
          <w:szCs w:val="26"/>
        </w:rPr>
        <w:t xml:space="preserve">Appendix E: Ethical Approval Documentation</w:t>
      </w:r>
    </w:p>
    <w:p>
      <w:pPr>
        <w:spacing w:after="200" w:line="360"/>
        <w:jc w:val="both"/>
      </w:pPr>
      <w:r>
        <w:rPr>
          <w:rFonts w:ascii="Times New Roman" w:cs="Times New Roman" w:eastAsia="Times New Roman" w:hAnsi="Times New Roman"/>
          <w:sz w:val="24"/>
          <w:szCs w:val="24"/>
        </w:rPr>
        <w:t xml:space="preserve">(To be included with IRB approval letters and consent form templates.)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2026-02-14T18:00:39.586Z</dcterms:created>
  <dcterms:modified xsi:type="dcterms:W3CDTF">2026-02-14T18:00:39.587Z</dcterms:modified>
</cp:coreProperties>
</file>

<file path=docProps/custom.xml><?xml version="1.0" encoding="utf-8"?>
<Properties xmlns="http://schemas.openxmlformats.org/officeDocument/2006/custom-properties" xmlns:vt="http://schemas.openxmlformats.org/officeDocument/2006/docPropsVTypes"/>
</file>