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-1827843</wp:posOffset>
                </wp:positionH>
                <wp:positionV relativeFrom="paragraph">
                  <wp:posOffset>-1256977</wp:posOffset>
                </wp:positionV>
                <wp:extent cx="1475105" cy="1140968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22735" y="0"/>
                          <a:ext cx="1446530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rgbClr val="A8D08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-1827843</wp:posOffset>
                </wp:positionH>
                <wp:positionV relativeFrom="paragraph">
                  <wp:posOffset>-1256977</wp:posOffset>
                </wp:positionV>
                <wp:extent cx="1475105" cy="11409680"/>
                <wp:effectExtent b="0" l="0" r="0" t="0"/>
                <wp:wrapNone/>
                <wp:docPr id="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5105" cy="1140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-1131248</wp:posOffset>
                </wp:positionH>
                <wp:positionV relativeFrom="paragraph">
                  <wp:posOffset>-1329368</wp:posOffset>
                </wp:positionV>
                <wp:extent cx="1073150" cy="1140968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23713" y="0"/>
                          <a:ext cx="1044575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rgbClr val="38562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-1131248</wp:posOffset>
                </wp:positionH>
                <wp:positionV relativeFrom="paragraph">
                  <wp:posOffset>-1329368</wp:posOffset>
                </wp:positionV>
                <wp:extent cx="1073150" cy="11409680"/>
                <wp:effectExtent b="0" l="0" r="0" t="0"/>
                <wp:wrapNone/>
                <wp:docPr id="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50" cy="1140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-640705</wp:posOffset>
                </wp:positionH>
                <wp:positionV relativeFrom="paragraph">
                  <wp:posOffset>-1258247</wp:posOffset>
                </wp:positionV>
                <wp:extent cx="1073150" cy="1140968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23713" y="0"/>
                          <a:ext cx="1044575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rgbClr val="54813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-640705</wp:posOffset>
                </wp:positionH>
                <wp:positionV relativeFrom="paragraph">
                  <wp:posOffset>-1258247</wp:posOffset>
                </wp:positionV>
                <wp:extent cx="1073150" cy="11409680"/>
                <wp:effectExtent b="0" l="0" r="0" t="0"/>
                <wp:wrapNone/>
                <wp:docPr id="2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50" cy="1140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-146676</wp:posOffset>
                </wp:positionH>
                <wp:positionV relativeFrom="paragraph">
                  <wp:posOffset>-1258247</wp:posOffset>
                </wp:positionV>
                <wp:extent cx="1073150" cy="1140968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823713" y="0"/>
                          <a:ext cx="1044575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-146676</wp:posOffset>
                </wp:positionH>
                <wp:positionV relativeFrom="paragraph">
                  <wp:posOffset>-1258247</wp:posOffset>
                </wp:positionV>
                <wp:extent cx="1073150" cy="11409680"/>
                <wp:effectExtent b="0" l="0" r="0" t="0"/>
                <wp:wrapNone/>
                <wp:docPr id="2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50" cy="1140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1695768</wp:posOffset>
                </wp:positionH>
                <wp:positionV relativeFrom="paragraph">
                  <wp:posOffset>3389313</wp:posOffset>
                </wp:positionV>
                <wp:extent cx="4156075" cy="2078038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0628" y="2757368"/>
                          <a:ext cx="5710745" cy="2045265"/>
                        </a:xfrm>
                        <a:custGeom>
                          <a:rect b="b" l="l" r="r" t="t"/>
                          <a:pathLst>
                            <a:path extrusionOk="0" h="2025015" w="4108450">
                              <a:moveTo>
                                <a:pt x="0" y="0"/>
                              </a:moveTo>
                              <a:lnTo>
                                <a:pt x="0" y="2025015"/>
                              </a:lnTo>
                              <a:lnTo>
                                <a:pt x="4108450" y="2025015"/>
                              </a:lnTo>
                              <a:lnTo>
                                <a:pt x="41084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1"/>
                                <w:i w:val="0"/>
                                <w:smallCaps w:val="0"/>
                                <w:strike w:val="0"/>
                                <w:color w:val="385623"/>
                                <w:sz w:val="110"/>
                                <w:vertAlign w:val="baseline"/>
                              </w:rPr>
                              <w:t xml:space="preserve">INFORME GENERAL ISO 25010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1695768</wp:posOffset>
                </wp:positionH>
                <wp:positionV relativeFrom="paragraph">
                  <wp:posOffset>3389313</wp:posOffset>
                </wp:positionV>
                <wp:extent cx="4156075" cy="2078038"/>
                <wp:effectExtent b="0" l="0" r="0" t="0"/>
                <wp:wrapNone/>
                <wp:docPr id="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6075" cy="20780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1709102</wp:posOffset>
                </wp:positionH>
                <wp:positionV relativeFrom="paragraph">
                  <wp:posOffset>5840414</wp:posOffset>
                </wp:positionV>
                <wp:extent cx="4371340" cy="2242709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73333" y="2871053"/>
                          <a:ext cx="4345334" cy="1817894"/>
                        </a:xfrm>
                        <a:custGeom>
                          <a:rect b="b" l="l" r="r" t="t"/>
                          <a:pathLst>
                            <a:path extrusionOk="0" h="1266825" w="4323715">
                              <a:moveTo>
                                <a:pt x="0" y="0"/>
                              </a:moveTo>
                              <a:lnTo>
                                <a:pt x="0" y="1266825"/>
                              </a:lnTo>
                              <a:lnTo>
                                <a:pt x="4323715" y="1266825"/>
                              </a:lnTo>
                              <a:lnTo>
                                <a:pt x="432371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Integrantes: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Juan Pablo Marin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Juan Sebastian Sotomayor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Daniel Felipe Reyes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Juan Sebastian Romero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1709102</wp:posOffset>
                </wp:positionH>
                <wp:positionV relativeFrom="paragraph">
                  <wp:posOffset>5840414</wp:posOffset>
                </wp:positionV>
                <wp:extent cx="4371340" cy="2242709"/>
                <wp:effectExtent b="0" l="0" r="0" t="0"/>
                <wp:wrapNone/>
                <wp:docPr id="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1340" cy="22427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40" w:before="280" w:line="276" w:lineRule="auto"/>
        <w:rPr>
          <w:rFonts w:ascii="Times New Roman" w:cs="Times New Roman" w:eastAsia="Times New Roman" w:hAnsi="Times New Roman"/>
          <w:color w:val="274e13"/>
          <w:sz w:val="24"/>
          <w:szCs w:val="24"/>
        </w:rPr>
      </w:pPr>
      <w:bookmarkStart w:colFirst="0" w:colLast="0" w:name="_heading=h.35x3cvb76dx2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Objetivo del Documento</w:t>
      </w:r>
    </w:p>
    <w:p w:rsidR="00000000" w:rsidDel="00000000" w:rsidP="00000000" w:rsidRDefault="00000000" w:rsidRPr="00000000" w14:paraId="00000023">
      <w:pPr>
        <w:spacing w:after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informe tiene como finalidad consolidar y certificar el nivel de calidad del producto de software Photo Bogotá bajo el modelo internacional ISO/IEC 25010 (Systems and software Quality Requirements and Evaluation – SQuaRE).</w:t>
      </w:r>
    </w:p>
    <w:p w:rsidR="00000000" w:rsidDel="00000000" w:rsidP="00000000" w:rsidRDefault="00000000" w:rsidRPr="00000000" w14:paraId="00000024">
      <w:pPr>
        <w:spacing w:after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evalúan las características de calidad del producto a partir de los resultados obtenidos en cuatro suites de pruebas: Accesibilidad y Usabilidad, Pruebas Unitarias, Pruebas End-to-End y Pruebas de Rendimiento, Carga y Estrés.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criterio de aceptación definido por el proyecto es un Índice Global de Calidad igual o superior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140" w:before="280" w:line="276" w:lineRule="auto"/>
        <w:rPr>
          <w:rFonts w:ascii="Times New Roman" w:cs="Times New Roman" w:eastAsia="Times New Roman" w:hAnsi="Times New Roman"/>
          <w:color w:val="274e13"/>
          <w:sz w:val="24"/>
          <w:szCs w:val="24"/>
        </w:rPr>
      </w:pPr>
      <w:bookmarkStart w:colFirst="0" w:colLast="0" w:name="_heading=h.c3ssq9ez9ak4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Alcance de la Evaluación</w:t>
      </w:r>
    </w:p>
    <w:p w:rsidR="00000000" w:rsidDel="00000000" w:rsidP="00000000" w:rsidRDefault="00000000" w:rsidRPr="00000000" w14:paraId="00000027">
      <w:pPr>
        <w:spacing w:after="1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evaluación cubre las siguientes características y subcaracterísticas del modelo ISO/IEC 25010: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Adecuación Funcional: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Completitud, corrección y pertinencia funcional.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Eficiencia de Desempeño: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Comportamiento temporal y utilización de recursos bajo carga.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Usabilidad: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Operabilidad, protección contra errores de usuario y accesibilidad.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Fiabilidad: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Madurez, disponibilidad y tolerancia a fallos en flujos reales.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Mantenibilidad: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Modularidad, reusabilidad, analizabilidad y baja duplicación de código.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Seguridad: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Autenticación, control de acceso y ausencia de vulnerabilidades críticas.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Compatibilidad: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Comportamiento consistente en múltiples navegadores.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140" w:before="280" w:line="276" w:lineRule="auto"/>
        <w:rPr>
          <w:rFonts w:ascii="Times New Roman" w:cs="Times New Roman" w:eastAsia="Times New Roman" w:hAnsi="Times New Roman"/>
          <w:color w:val="274e13"/>
          <w:sz w:val="24"/>
          <w:szCs w:val="24"/>
        </w:rPr>
      </w:pPr>
      <w:bookmarkStart w:colFirst="0" w:colLast="0" w:name="_heading=h.ewa8acu8efio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Índice Global de Calidad</w:t>
      </w:r>
    </w:p>
    <w:p w:rsidR="00000000" w:rsidDel="00000000" w:rsidP="00000000" w:rsidRDefault="00000000" w:rsidRPr="00000000" w14:paraId="00000030">
      <w:pPr>
        <w:spacing w:after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Índice Global se calcula como el promedio aritmético de los resultados consolidados de las cuatro dimensiones de prueba:</w:t>
      </w:r>
    </w:p>
    <w:p w:rsidR="00000000" w:rsidDel="00000000" w:rsidP="00000000" w:rsidRDefault="00000000" w:rsidRPr="00000000" w14:paraId="0000003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 Global = (87.84% + 87.20% + 83.33% + 71.44%) / 4 = 82.45%</w:t>
      </w:r>
    </w:p>
    <w:tbl>
      <w:tblPr>
        <w:tblStyle w:val="Table1"/>
        <w:tblW w:w="8503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28.619360502235"/>
        <w:gridCol w:w="1493.8601830176638"/>
        <w:gridCol w:w="1608.7725047882532"/>
        <w:gridCol w:w="2772.259762715472"/>
        <w:tblGridChange w:id="0">
          <w:tblGrid>
            <w:gridCol w:w="2628.619360502235"/>
            <w:gridCol w:w="1493.8601830176638"/>
            <w:gridCol w:w="1608.7725047882532"/>
            <w:gridCol w:w="2772.25976271547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Dimensión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Característica ISO 25010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Accesibilidad y Usabilidad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87.84%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2e7d3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d32"/>
                <w:sz w:val="24"/>
                <w:szCs w:val="24"/>
                <w:rtl w:val="0"/>
              </w:rPr>
              <w:t xml:space="preserve">Cumple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Unitarias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87.20%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2e7d3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d32"/>
                <w:sz w:val="24"/>
                <w:szCs w:val="24"/>
                <w:rtl w:val="0"/>
              </w:rPr>
              <w:t xml:space="preserve">Cumple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Mantenibilidad + Adecuación Funcional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End-to-End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83.33%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2e7d3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d32"/>
                <w:sz w:val="24"/>
                <w:szCs w:val="24"/>
                <w:rtl w:val="0"/>
              </w:rPr>
              <w:t xml:space="preserve">Cumple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Adecuación Funcional + Fiabilidad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Rendimiento, Carga y Estrés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71.44%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f57c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57c00"/>
                <w:sz w:val="24"/>
                <w:szCs w:val="24"/>
                <w:rtl w:val="0"/>
              </w:rPr>
              <w:t xml:space="preserve">Aceptable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Eficiencia de Desempeño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6e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ÍNDICE GLOBAL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6e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82.45%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6e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Óptimo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6e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A">
      <w:pPr>
        <w:spacing w:after="200" w:before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plataforma supera el umbral de aceptación del 80%, certificando un nivel óptimo de operatividad, mantenibilidad e inclusión funcional.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140" w:before="280" w:line="276" w:lineRule="auto"/>
        <w:rPr>
          <w:rFonts w:ascii="Times New Roman" w:cs="Times New Roman" w:eastAsia="Times New Roman" w:hAnsi="Times New Roman"/>
          <w:color w:val="274e13"/>
          <w:sz w:val="24"/>
          <w:szCs w:val="24"/>
        </w:rPr>
      </w:pPr>
      <w:bookmarkStart w:colFirst="0" w:colLast="0" w:name="_heading=h.1tnyriovgmhn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Mapeo Detallado a ISO/IEC 25010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100" w:before="22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bookmarkStart w:colFirst="0" w:colLast="0" w:name="_heading=h.i9n32inhysm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1.1 Adecuación Funcional</w:t>
      </w:r>
    </w:p>
    <w:p w:rsidR="00000000" w:rsidDel="00000000" w:rsidP="00000000" w:rsidRDefault="00000000" w:rsidRPr="00000000" w14:paraId="0000004D">
      <w:pPr>
        <w:spacing w:after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Evalúa si el sistema proporciona las funciones que satisfacen las necesidades declaradas e implícitas.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Pruebas Unitarias (cobertura de lógica de negocio) y Pruebas E2E (flujos completos por rol).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Alto. No se identificaron bloqueos funcionales críticos. 110 de 132 pruebas E2E exitosas.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Subcaracterísticas: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Completitud funcional, Corrección funcional y Pertinencia funcional.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100" w:before="22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bookmarkStart w:colFirst="0" w:colLast="0" w:name="_heading=h.83qns1fxc6p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1.2 Eficiencia de Desempeño</w:t>
      </w:r>
    </w:p>
    <w:p w:rsidR="00000000" w:rsidDel="00000000" w:rsidP="00000000" w:rsidRDefault="00000000" w:rsidRPr="00000000" w14:paraId="00000052">
      <w:pPr>
        <w:spacing w:after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Evalúa el desempeño relativo a la cantidad de recursos utilizados bajo condiciones establecidas.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escenarios de carga y estrés con Apache JMeter.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Medio (71.44%). Lecturas estables; escrituras y algunos listados afectados por rate limiting.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Subcaracterísticas: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Comportamiento temporal y Utilización de recursos.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100" w:before="22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bookmarkStart w:colFirst="0" w:colLast="0" w:name="_heading=h.mvidijxn6oz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1.3 Usabilidad</w:t>
      </w:r>
    </w:p>
    <w:p w:rsidR="00000000" w:rsidDel="00000000" w:rsidP="00000000" w:rsidRDefault="00000000" w:rsidRPr="00000000" w14:paraId="00000057">
      <w:pPr>
        <w:spacing w:after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Evalúa si el sistema puede ser entendido, aprendido, utilizado y atractivo para el usuario, incluyendo accesibilidad.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Auditoría de 32 módulos con Google Lighthouse y cumplimiento WCAG 2.1 (niveles A y AA).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Alto (87.84% de accesibilidad).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Subcaracterísticas: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Operabilidad, Protección contra errores de usuario y Accesibilidad.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100" w:before="22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bookmarkStart w:colFirst="0" w:colLast="0" w:name="_heading=h.1ure19evdng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1.4 Fiabilidad</w:t>
      </w:r>
    </w:p>
    <w:p w:rsidR="00000000" w:rsidDel="00000000" w:rsidP="00000000" w:rsidRDefault="00000000" w:rsidRPr="00000000" w14:paraId="0000005C">
      <w:pPr>
        <w:spacing w:after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Evalúa el grado en que el sistema realiza las funciones especificadas bajo condiciones establecidas durante un período de tiempo.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Suite E2E de 132 pruebas en Chromium, Firefox y WebKit.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Alto (tasa de éxito efectiva 83.33%). La mayoría de fallos se debieron a infraestructura de pruebas, no a defectos funcionales.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Subcaracterísticas: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Madurez, Disponibilidad y Tolerancia a fallos.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100" w:before="22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bookmarkStart w:colFirst="0" w:colLast="0" w:name="_heading=h.x8t3zjoc5bv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1.5 Mantenibilidad</w:t>
      </w:r>
    </w:p>
    <w:p w:rsidR="00000000" w:rsidDel="00000000" w:rsidP="00000000" w:rsidRDefault="00000000" w:rsidRPr="00000000" w14:paraId="00000061">
      <w:pPr>
        <w:spacing w:after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Evalúa el grado de efectividad y eficiencia con el que el producto puede ser modificado.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JaCoCo (90% instrucciones), SonarCloud (84.39% cobertura, 0.6% duplicación) y análisis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Alto (promedio consolidado 87.20%). Arquitectura modular y baja duplicación.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Subcaracterísticas: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Modularidad, Reusabilidad, Analizabilidad y Modificabilidad.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100" w:before="22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bookmarkStart w:colFirst="0" w:colLast="0" w:name="_heading=h.cg5zaar9oi2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1.6 Seguridad</w:t>
      </w:r>
    </w:p>
    <w:p w:rsidR="00000000" w:rsidDel="00000000" w:rsidP="00000000" w:rsidRDefault="00000000" w:rsidRPr="00000000" w14:paraId="00000066">
      <w:pPr>
        <w:spacing w:after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Evalúa el grado de protección de la información y los datos.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CodeQL sin vulnerabilidades críticas; implementación de JWT, rate limiting y RBAC.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Alto.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Subcaracterísticas: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Confidencialidad, Integridad, Autenticación y Control de acceso.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100" w:before="22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bookmarkStart w:colFirst="0" w:colLast="0" w:name="_heading=h.uatmh5f9wxx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1.7 Compatibilidad</w:t>
      </w:r>
    </w:p>
    <w:p w:rsidR="00000000" w:rsidDel="00000000" w:rsidP="00000000" w:rsidRDefault="00000000" w:rsidRPr="00000000" w14:paraId="0000006B">
      <w:pPr>
        <w:spacing w:after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Evalúa el grado en que el producto puede intercambiar información e interoperar con otros sistemas.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Pruebas E2E ejecutadas en Chromium, Firefox y WebKit (Safari).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Alto. Comportamiento consistente entre navegadores.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140" w:before="280" w:line="276" w:lineRule="auto"/>
        <w:rPr>
          <w:rFonts w:ascii="Times New Roman" w:cs="Times New Roman" w:eastAsia="Times New Roman" w:hAnsi="Times New Roman"/>
          <w:color w:val="274e13"/>
          <w:sz w:val="24"/>
          <w:szCs w:val="24"/>
        </w:rPr>
      </w:pPr>
      <w:bookmarkStart w:colFirst="0" w:colLast="0" w:name="_heading=h.zenbi81dh9w2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Resumen de las Suites de Prueba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100" w:before="22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bookmarkStart w:colFirst="0" w:colLast="0" w:name="_heading=h.xyh4zjluygc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2.1 Accesibilidad y Usabilidad — 87.84%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 módulos auditados en los roles Visitante, Miembro, Socio, Moderador y Administrador.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Cumplimiento WCAG 2.1 niveles A y AA.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Herramientas: Google Lighthouse, react-doctor, eslint-plugin-jsx-a11y, SonarQube.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100" w:before="22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bookmarkStart w:colFirst="0" w:colLast="0" w:name="_heading=h.6et14ureukc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2.2 Pruebas Unitarias — 87.20%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JaCoCo: 90% de instrucciones · 89% métodos · 98% clases.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SonarCloud: 84.39% de cobertura · 0.6% de duplicación.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Aislamiento con JUnit 5 + Mockito. Quality Gate cumplido.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100" w:before="22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bookmarkStart w:colFirst="0" w:colLast="0" w:name="_heading=h.kgyxcylfqyn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2.3 Pruebas End-to-End — 83.33%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132 pruebas · 16 suites · 3 navegadores (Chromium, Firefox, WebKit).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110 pruebas exitosas (104 directas + 6 recuperadas).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Principal causa de fallos: rate limiting del backend por ejecución paralela.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100" w:before="22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bookmarkStart w:colFirst="0" w:colLast="0" w:name="_heading=h.3uzc427jpu6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2.4 Rendimiento, Carga y Estrés — 71.44%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escenarios de endpoints críticos con Apache JMeter.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escenarios sin errores · 4 con errores bajos · 6 críticos.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 throughput: 359 req/s. Lecturas estables; las escrituras requieren optimización.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after="140" w:before="280" w:line="276" w:lineRule="auto"/>
        <w:rPr>
          <w:rFonts w:ascii="Times New Roman" w:cs="Times New Roman" w:eastAsia="Times New Roman" w:hAnsi="Times New Roman"/>
          <w:color w:val="274e13"/>
          <w:sz w:val="24"/>
          <w:szCs w:val="24"/>
        </w:rPr>
      </w:pPr>
      <w:bookmarkStart w:colFirst="0" w:colLast="0" w:name="_heading=h.fvu7y9r2xvr4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Conclusiones Generales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alcanza un Índice Global de Calidad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82.45%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superando el umbral de aceptación del 80% definido en el proyecto.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dimensiones de Usabilidad, Mantenibilidad, Adecuación Funcional, Fiabilidad, Seguridad y Compatibilidad presentan un nivel alto de madurez.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dimensión más débil es la Eficiencia de Desempeño (71.44%), principalmente por el comportamiento de endpoints de escritura bajo carga concurrente y el rate limiting.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modular, la baja duplicación de código (0.6%) y la automatización de pruebas (unitarias, E2E y CI/CD) favorecen la mantenibilidad y la evolución del producto.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identificaron vulnerabilidades críticas de seguridad ni bloqueos funcionales que impidan la operación del sistema.</w:t>
      </w:r>
    </w:p>
    <w:p w:rsidR="00000000" w:rsidDel="00000000" w:rsidP="00000000" w:rsidRDefault="00000000" w:rsidRPr="00000000" w14:paraId="0000008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eem Kuf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Reem Kufi" w:cs="Reem Kufi" w:eastAsia="Reem Kufi" w:hAnsi="Reem Kuf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emKufi-regular.ttf"/><Relationship Id="rId2" Type="http://schemas.openxmlformats.org/officeDocument/2006/relationships/font" Target="fonts/ReemKuf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YnBq/d4FPk2XcTUc+xjcm6Xu3w==">CgMxLjAyDmguMzV4M2N2Yjc2ZHgyMg5oLmMzc3NxOWV6OWFrNDIOaC5ld2E4YWN1OGVmaW8yDmguMXRueXJpb3ZnbWhuMg5oLmk5bjMyaW5oeXNtbDIOaC44M3FuczFmeGM2cHgyDmgubXZpZGlqeG42b3o3Mg5oLjF1cmUxOWV2ZG5ncDIOaC54OHQzempvYzVidmEyDmguY2c1emFhcjlvaTIzMg5oLnVhdG1oNWY5d3h4MTIOaC56ZW5iaTgxZGg5dzIyDmgueHloNHpqbHV5Z2NmMg5oLjZldDE0dXJldWtjNTIOaC5rZ3l4Y3lsZnF5bnoyDmguM3V6YzQyN2pwdTZtMg5oLmZ2dTd5OXIyeHZyNDgAciExT3Vab1dmQmRmT2laYzF6cVpaRDFGSHhTSnR0dnhJR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4e90e4d755708ae867548362f4fb89bdcac613a88cce03aaaca217ac9bb5312f</vt:lpwstr>
  </property>
</Properties>
</file>