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-1827843</wp:posOffset>
                </wp:positionH>
                <wp:positionV relativeFrom="paragraph">
                  <wp:posOffset>-1256977</wp:posOffset>
                </wp:positionV>
                <wp:extent cx="1475105" cy="1140968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622735" y="0"/>
                          <a:ext cx="1446530" cy="7560000"/>
                        </a:xfrm>
                        <a:prstGeom prst="chevron">
                          <a:avLst>
                            <a:gd fmla="val 50000" name="adj"/>
                          </a:avLst>
                        </a:prstGeom>
                        <a:solidFill>
                          <a:srgbClr val="A8D08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-1827843</wp:posOffset>
                </wp:positionH>
                <wp:positionV relativeFrom="paragraph">
                  <wp:posOffset>-1256977</wp:posOffset>
                </wp:positionV>
                <wp:extent cx="1475105" cy="11409680"/>
                <wp:effectExtent b="0" l="0" r="0" t="0"/>
                <wp:wrapNone/>
                <wp:docPr id="1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5105" cy="11409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-1131248</wp:posOffset>
                </wp:positionH>
                <wp:positionV relativeFrom="paragraph">
                  <wp:posOffset>-1329368</wp:posOffset>
                </wp:positionV>
                <wp:extent cx="1073150" cy="1140968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823713" y="0"/>
                          <a:ext cx="1044575" cy="7560000"/>
                        </a:xfrm>
                        <a:prstGeom prst="chevron">
                          <a:avLst>
                            <a:gd fmla="val 50000" name="adj"/>
                          </a:avLst>
                        </a:prstGeom>
                        <a:solidFill>
                          <a:srgbClr val="38562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-1131248</wp:posOffset>
                </wp:positionH>
                <wp:positionV relativeFrom="paragraph">
                  <wp:posOffset>-1329368</wp:posOffset>
                </wp:positionV>
                <wp:extent cx="1073150" cy="11409680"/>
                <wp:effectExtent b="0" l="0" r="0" t="0"/>
                <wp:wrapNone/>
                <wp:docPr id="2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3150" cy="11409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-640705</wp:posOffset>
                </wp:positionH>
                <wp:positionV relativeFrom="paragraph">
                  <wp:posOffset>-1258247</wp:posOffset>
                </wp:positionV>
                <wp:extent cx="1073150" cy="11409680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823713" y="0"/>
                          <a:ext cx="1044575" cy="7560000"/>
                        </a:xfrm>
                        <a:prstGeom prst="chevron">
                          <a:avLst>
                            <a:gd fmla="val 50000" name="adj"/>
                          </a:avLst>
                        </a:prstGeom>
                        <a:solidFill>
                          <a:srgbClr val="54813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-640705</wp:posOffset>
                </wp:positionH>
                <wp:positionV relativeFrom="paragraph">
                  <wp:posOffset>-1258247</wp:posOffset>
                </wp:positionV>
                <wp:extent cx="1073150" cy="11409680"/>
                <wp:effectExtent b="0" l="0" r="0" t="0"/>
                <wp:wrapNone/>
                <wp:docPr id="2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3150" cy="11409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-146676</wp:posOffset>
                </wp:positionH>
                <wp:positionV relativeFrom="paragraph">
                  <wp:posOffset>-1258247</wp:posOffset>
                </wp:positionV>
                <wp:extent cx="1073150" cy="11409680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823713" y="0"/>
                          <a:ext cx="1044575" cy="7560000"/>
                        </a:xfrm>
                        <a:prstGeom prst="chevron">
                          <a:avLst>
                            <a:gd fmla="val 50000" name="adj"/>
                          </a:avLst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-146676</wp:posOffset>
                </wp:positionH>
                <wp:positionV relativeFrom="paragraph">
                  <wp:posOffset>-1258247</wp:posOffset>
                </wp:positionV>
                <wp:extent cx="1073150" cy="11409680"/>
                <wp:effectExtent b="0" l="0" r="0" t="0"/>
                <wp:wrapNone/>
                <wp:docPr id="2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3150" cy="11409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1695768</wp:posOffset>
                </wp:positionH>
                <wp:positionV relativeFrom="paragraph">
                  <wp:posOffset>3389313</wp:posOffset>
                </wp:positionV>
                <wp:extent cx="4156075" cy="2078038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0628" y="2757368"/>
                          <a:ext cx="5710745" cy="2045265"/>
                        </a:xfrm>
                        <a:custGeom>
                          <a:rect b="b" l="l" r="r" t="t"/>
                          <a:pathLst>
                            <a:path extrusionOk="0" h="2025015" w="4108450">
                              <a:moveTo>
                                <a:pt x="0" y="0"/>
                              </a:moveTo>
                              <a:lnTo>
                                <a:pt x="0" y="2025015"/>
                              </a:lnTo>
                              <a:lnTo>
                                <a:pt x="4108450" y="2025015"/>
                              </a:lnTo>
                              <a:lnTo>
                                <a:pt x="410845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1"/>
                                <w:i w:val="0"/>
                                <w:smallCaps w:val="0"/>
                                <w:strike w:val="0"/>
                                <w:color w:val="385623"/>
                                <w:sz w:val="110"/>
                                <w:vertAlign w:val="baseline"/>
                              </w:rPr>
                              <w:t xml:space="preserve">INFORME PRUEBAS </w:t>
                            </w: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1"/>
                                <w:i w:val="0"/>
                                <w:smallCaps w:val="0"/>
                                <w:strike w:val="0"/>
                                <w:color w:val="385623"/>
                                <w:sz w:val="110"/>
                                <w:vertAlign w:val="baseline"/>
                              </w:rPr>
                              <w:t xml:space="preserve">UNITARIAS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1695768</wp:posOffset>
                </wp:positionH>
                <wp:positionV relativeFrom="paragraph">
                  <wp:posOffset>3389313</wp:posOffset>
                </wp:positionV>
                <wp:extent cx="4156075" cy="2078038"/>
                <wp:effectExtent b="0" l="0" r="0" t="0"/>
                <wp:wrapNone/>
                <wp:docPr id="1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56075" cy="20780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1709102</wp:posOffset>
                </wp:positionH>
                <wp:positionV relativeFrom="paragraph">
                  <wp:posOffset>5840414</wp:posOffset>
                </wp:positionV>
                <wp:extent cx="4371340" cy="2242709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173333" y="2871053"/>
                          <a:ext cx="4345334" cy="1817894"/>
                        </a:xfrm>
                        <a:custGeom>
                          <a:rect b="b" l="l" r="r" t="t"/>
                          <a:pathLst>
                            <a:path extrusionOk="0" h="1266825" w="4323715">
                              <a:moveTo>
                                <a:pt x="0" y="0"/>
                              </a:moveTo>
                              <a:lnTo>
                                <a:pt x="0" y="1266825"/>
                              </a:lnTo>
                              <a:lnTo>
                                <a:pt x="4323715" y="1266825"/>
                              </a:lnTo>
                              <a:lnTo>
                                <a:pt x="432371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  <w:t xml:space="preserve">Integrantes: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  <w:t xml:space="preserve">Juan Pablo Marin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  <w:t xml:space="preserve">Juan Sebastian Sotomayor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  <w:t xml:space="preserve">Daniel Felipe Reyes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  <w:t xml:space="preserve">Juan Sebastian Romero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1709102</wp:posOffset>
                </wp:positionH>
                <wp:positionV relativeFrom="paragraph">
                  <wp:posOffset>5840414</wp:posOffset>
                </wp:positionV>
                <wp:extent cx="4371340" cy="2242709"/>
                <wp:effectExtent b="0" l="0" r="0" t="0"/>
                <wp:wrapNone/>
                <wp:docPr id="1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71340" cy="22427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Objetivo del documento: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presente informe tiene como finalidad cuantificar, verificar y certificar la calidad del código fuente del backend de la aplicación Photo Bogotá mediante la ejecución de pruebas unitarias automatizadas. Se evalúa el grado de cobertura de código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Code Coverage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y el aislamiento de lógica de negocio sobre la arquitectura Spring Boot, garantizando el cumplimiento de los criterios de calidad bajo el estándar internacional ISO/IEC 25010. 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Entorno y Herramientas de Prueba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Lenguaje de Programación &amp; Runtime: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 21 / 25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Framework Principal: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 Boot 3 / 4 (spring-boot-starter-webmvc-test, spring-boot-starter-data-mongodb-test)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Framework de Pruebas Unitarias: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JUnit 5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Jupiter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Engine)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Aisle &amp; Mapeo (Mocks):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Mockito, MapStruct (v1.6.3), Lombok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Motor de Cobertura: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JaCoCo Maven Plugin (v0.8.14)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Análisis Estático &amp; CI/CD: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SonarCloud / SonarQube y GitHub Actions (CodeQL)</w:t>
      </w:r>
    </w:p>
    <w:p w:rsidR="00000000" w:rsidDel="00000000" w:rsidP="00000000" w:rsidRDefault="00000000" w:rsidRPr="00000000" w14:paraId="0000002B">
      <w:pPr>
        <w:spacing w:after="240" w:before="0" w:lineRule="auto"/>
        <w:rPr>
          <w:rFonts w:ascii="Times New Roman" w:cs="Times New Roman" w:eastAsia="Times New Roman" w:hAnsi="Times New Roman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0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Resumen de cobertura y métricas de calidad </w:t>
      </w:r>
    </w:p>
    <w:p w:rsidR="00000000" w:rsidDel="00000000" w:rsidP="00000000" w:rsidRDefault="00000000" w:rsidRPr="00000000" w14:paraId="0000002D">
      <w:pPr>
        <w:spacing w:after="240" w:before="0" w:lineRule="auto"/>
        <w:rPr>
          <w:rFonts w:ascii="Times New Roman" w:cs="Times New Roman" w:eastAsia="Times New Roman" w:hAnsi="Times New Roman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4e13"/>
          <w:sz w:val="24"/>
          <w:szCs w:val="24"/>
          <w:rtl w:val="0"/>
        </w:rPr>
        <w:t xml:space="preserve">3.1. Métricas Globales en </w:t>
      </w:r>
      <w:r w:rsidDel="00000000" w:rsidR="00000000" w:rsidRPr="00000000">
        <w:rPr>
          <w:rFonts w:ascii="Times New Roman" w:cs="Times New Roman" w:eastAsia="Times New Roman" w:hAnsi="Times New Roman"/>
          <w:color w:val="274e13"/>
          <w:sz w:val="24"/>
          <w:szCs w:val="24"/>
          <w:rtl w:val="0"/>
        </w:rPr>
        <w:t xml:space="preserve">SonarCloud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análisis automático integrado en el pipeline de Integración Continua (SonarCloud) arrojó los siguientes resultados consolidados sobre el código auditado:</w:t>
      </w:r>
    </w:p>
    <w:p w:rsidR="00000000" w:rsidDel="00000000" w:rsidP="00000000" w:rsidRDefault="00000000" w:rsidRPr="00000000" w14:paraId="0000002F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590.9999999999997" w:tblpY="0"/>
        <w:tblW w:w="10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0"/>
        <w:gridCol w:w="2325"/>
        <w:gridCol w:w="2460"/>
        <w:gridCol w:w="2010"/>
        <w:tblGridChange w:id="0">
          <w:tblGrid>
            <w:gridCol w:w="3210"/>
            <w:gridCol w:w="2325"/>
            <w:gridCol w:w="2460"/>
            <w:gridCol w:w="201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Métrica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1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2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Requerido / Criterio 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Cobertura de Código (Coverage)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84.39%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6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80.0%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7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Aprobado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8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Duplicación de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9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0.6%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A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3.0%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B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Aprobado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C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Accepted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D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E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F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Aprobado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1333500"/>
            <wp:effectExtent b="0" l="0" r="0" t="0"/>
            <wp:docPr id="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2895600"/>
            <wp:effectExtent b="0" l="0" r="0" t="0"/>
            <wp:docPr id="2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4e13"/>
          <w:sz w:val="24"/>
          <w:szCs w:val="24"/>
          <w:rtl w:val="0"/>
        </w:rPr>
        <w:t xml:space="preserve"> 3.2. Métricas de Cobertura con JaCoCo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Mediante el reporte generado por JaCoCo, se auditaron 15,572 instrucciones y 3,593 líneas de código a lo largo del sistema: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5.0" w:type="dxa"/>
        <w:jc w:val="left"/>
        <w:tblInd w:w="-3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1830"/>
        <w:gridCol w:w="1845"/>
        <w:gridCol w:w="1590"/>
        <w:gridCol w:w="1830"/>
        <w:tblGridChange w:id="0">
          <w:tblGrid>
            <w:gridCol w:w="2400"/>
            <w:gridCol w:w="1830"/>
            <w:gridCol w:w="1845"/>
            <w:gridCol w:w="1590"/>
            <w:gridCol w:w="18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Métrica JaCoCo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Cobertura Obtenida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Cantidad Evaluada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Instrucciones / Líneas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14,017 de 15,572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80%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Aprobado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Ramas (Branches if/else)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67%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712 de 1,060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60%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Aprobado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Métodos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89%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598 de 672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80%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Aprobado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Clases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98%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97 de 99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85%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Aprobado</w:t>
            </w:r>
          </w:p>
        </w:tc>
      </w:tr>
    </w:tbl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96903" cy="1976843"/>
            <wp:effectExtent b="0" l="0" r="0" t="0"/>
            <wp:docPr id="2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6903" cy="1976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650.0" w:type="dxa"/>
        <w:jc w:val="left"/>
        <w:tblInd w:w="-10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5"/>
        <w:gridCol w:w="2805"/>
        <w:gridCol w:w="2070"/>
        <w:gridCol w:w="1260"/>
        <w:gridCol w:w="1170"/>
        <w:tblGridChange w:id="0">
          <w:tblGrid>
            <w:gridCol w:w="3345"/>
            <w:gridCol w:w="2805"/>
            <w:gridCol w:w="2070"/>
            <w:gridCol w:w="1260"/>
            <w:gridCol w:w="117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Paquete / Capa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 del Componente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Cobertura Instrucciones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Cobertura Ramas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Estado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com.photobogota.api.config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Filtros de Seguridad, JWT, Rate Limit y Mantenimiento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97%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74%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PASSED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com.photobogota.api.exception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Manejador Global de Excepciones (GlobalExceptionHandler)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97%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PASSED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com.photobogota.api.mapper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Mapeadores DTO/Entidad (MapStruct)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96%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75%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PASSED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com.photobogota.api.model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Modelos del Dominio y Enumeraciones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96%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PASSED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com.photobogota.api.controller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Endpoints REST (Auth, Admin, Spots, Reportes, Usuarios)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94%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66%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PASSED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com.photobogota.api.storage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Almacenamiento Multimedia (Cloudinary / Local)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94%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91%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PASSED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com.photobogota.api.service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Lógica de Negocio Principal y Servicios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87%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66%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PASSED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com.photobogota.api.utils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Utilidades de Streams y Constantes de API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82%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83%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PASSED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com.photobogota.api.dto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Objetos de Transferencia y Validadores Personalizados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70%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38%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PASSED</w:t>
            </w:r>
          </w:p>
        </w:tc>
      </w:tr>
    </w:tbl>
    <w:p w:rsidR="00000000" w:rsidDel="00000000" w:rsidP="00000000" w:rsidRDefault="00000000" w:rsidRPr="00000000" w14:paraId="0000009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Integración continua y análisis de seguridad (CI/CD)</w:t>
      </w:r>
    </w:p>
    <w:p w:rsidR="00000000" w:rsidDel="00000000" w:rsidP="00000000" w:rsidRDefault="00000000" w:rsidRPr="00000000" w14:paraId="00000095">
      <w:pPr>
        <w:spacing w:after="240" w:line="276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Las pruebas y el análisis estático de código se ejecutan de manera automatizada en cada integración dentro del repositorio de GitHub Actions: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GitHub CodeQL Analysis: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Successful (37s - 2m)</w:t>
        <w:br w:type="textWrapping"/>
        <w:t xml:space="preserve">Escaneo SAST de seguridad ejecutado con éxito, confirmando un código libre de vulnerabilidades críticas.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SonarCloud Analysis: </w:t>
      </w:r>
      <w:sdt>
        <w:sdtPr>
          <w:id w:val="-544971940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Quality Gate Cumplido</w:t>
            <w:br w:type="textWrapping"/>
            <w:t xml:space="preserve">Superación de los umbrales mínimos de cobertura (≥ 80%) y duplicación (≤ 3%).</w:t>
          </w:r>
        </w:sdtContent>
      </w:sdt>
    </w:p>
    <w:p w:rsidR="00000000" w:rsidDel="00000000" w:rsidP="00000000" w:rsidRDefault="00000000" w:rsidRPr="00000000" w14:paraId="00000098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87378" cy="1181564"/>
            <wp:effectExtent b="0" l="0" r="0" t="0"/>
            <wp:docPr id="2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7378" cy="1181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line="276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Conclusiones</w:t>
      </w:r>
    </w:p>
    <w:p w:rsidR="00000000" w:rsidDel="00000000" w:rsidP="00000000" w:rsidRDefault="00000000" w:rsidRPr="00000000" w14:paraId="0000009A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Cumplimiento Normativo ISO/IEC 25010: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desarrollo alcanzó un 84.39% en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SonarCloud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un 90% en JaCoCo, superando holgadamente la métrica de aceptación del 80%.</w:t>
      </w:r>
    </w:p>
    <w:p w:rsidR="00000000" w:rsidDel="00000000" w:rsidP="00000000" w:rsidRDefault="00000000" w:rsidRPr="00000000" w14:paraId="0000009B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Eficiencia en Arquitectura: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cifra de 0.6% en duplicación de código refleja una correcta aplicación de patrones de diseño y reutilización de componentes.</w:t>
      </w:r>
    </w:p>
    <w:p w:rsidR="00000000" w:rsidDel="00000000" w:rsidP="00000000" w:rsidRDefault="00000000" w:rsidRPr="00000000" w14:paraId="0000009C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Aisle Estricto: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utilización de Mockito permitió aislar la base de datos MongoDB y servicios externos (Cloudinary, SMTP), asegurando ejecuciones de pruebas limpias y de alta velocidad.</w:t>
      </w:r>
    </w:p>
    <w:p w:rsidR="00000000" w:rsidDel="00000000" w:rsidP="00000000" w:rsidRDefault="00000000" w:rsidRPr="00000000" w14:paraId="0000009D">
      <w:pPr>
        <w:spacing w:after="240" w:line="276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Cobertura General Consolidada</w:t>
      </w:r>
    </w:p>
    <w:p w:rsidR="00000000" w:rsidDel="00000000" w:rsidP="00000000" w:rsidRDefault="00000000" w:rsidRPr="00000000" w14:paraId="0000009E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Integrando la auditoría global de instrucciones de JaCoCo (90.00%) y el análisis estático en la nube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SonarCloud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(84.39%), el desarrollo alcanzó un promedio general consolidado de cobertura del 87.20%, superando ampliamente el criterio de aceptación del 80.0% establecido bajo el estándar ISO/IEC 25010.</w:t>
      </w:r>
    </w:p>
    <w:p w:rsidR="00000000" w:rsidDel="00000000" w:rsidP="00000000" w:rsidRDefault="00000000" w:rsidRPr="00000000" w14:paraId="0000009F">
      <w:pPr>
        <w:spacing w:after="240" w:line="276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  <w:font w:name="Reem Kuf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Reem Kufi" w:cs="Reem Kufi" w:eastAsia="Reem Kufi" w:hAnsi="Reem Kuf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eemKufi-regular.ttf"/><Relationship Id="rId2" Type="http://schemas.openxmlformats.org/officeDocument/2006/relationships/font" Target="fonts/ReemKuf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FS9Eha0AOx+ZJdEhs6YUVYJxCg==">CgMxLjAaJQoBMBIgCh4IB0IaCg9UaW1lcyBOZXcgUm9tYW4SB0d1bmdzdWg4AHIhMXJUcE9wVkZBTDFPaGdjOG5sNVBuNlk2X3BMa3gxY0dX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4e90e4d755708ae867548362f4fb89bdcac613a88cce03aaaca217ac9bb5312f</vt:lpwstr>
  </property>
</Properties>
</file>