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2434"/>
          <w:sz w:val="40"/>
          <w:szCs w:val="40"/>
        </w:rPr>
        <w:t xml:space="preserve">Vendor Desk and Product PO: build and cutover plan</w:t>
      </w:r>
    </w:p>
    <w:p>
      <w:pPr>
        <w:pBdr>
          <w:bottom w:val="single" w:color="0E7C73" w:sz="12" w:space="6"/>
        </w:pBdr>
        <w:spacing w:after="240"/>
      </w:pPr>
      <w:r>
        <w:rPr>
          <w:rFonts w:ascii="Arial" w:cs="Arial" w:eastAsia="Arial" w:hAnsi="Arial"/>
          <w:color w:val="5C6B81"/>
          <w:sz w:val="18"/>
          <w:szCs w:val="18"/>
        </w:rPr>
        <w:t xml:space="preserve">PRO Modernization · PIV2 · updated 22 October 2026</w:t>
      </w:r>
    </w:p>
    <w:p>
      <w:pPr>
        <w:spacing w:after="120"/>
      </w:pPr>
      <w:r>
        <w:rPr>
          <w:rFonts w:ascii="Arial" w:cs="Arial" w:eastAsia="Arial" w:hAnsi="Arial"/>
          <w:color w:val="1A2434"/>
          <w:sz w:val="21"/>
          <w:szCs w:val="21"/>
        </w:rPr>
        <w:t xml:space="preserve">PIV2 is replacing Computyme piece by piece. Each piece below runs alongside Computyme until it is switched over, and a piece switches only when everything that still reads it in Computyme is fed from PIV2.</w:t>
      </w:r>
    </w:p>
    <w:p>
      <w:pPr>
        <w:spacing w:after="120"/>
      </w:pPr>
      <w:r>
        <w:rPr>
          <w:rFonts w:ascii="Arial" w:cs="Arial" w:eastAsia="Arial" w:hAnsi="Arial"/>
          <w:color w:val="1A2434"/>
          <w:sz w:val="21"/>
          <w:szCs w:val="21"/>
        </w:rPr>
        <w:t xml:space="preserve">Grounded in: the vendor discovery run (</w:t>
      </w:r>
      <w:r>
        <w:rPr>
          <w:rFonts w:ascii="Consolas" w:cs="Consolas" w:eastAsia="Consolas" w:hAnsi="Consolas"/>
          <w:color w:val="334155"/>
          <w:sz w:val="19"/>
          <w:szCs w:val="19"/>
        </w:rPr>
        <w:t xml:space="preserve">sql/vendor-desk/00-vendor-discovery.sql</w:t>
      </w:r>
      <w:r>
        <w:rPr>
          <w:rFonts w:ascii="Arial" w:cs="Arial" w:eastAsia="Arial" w:hAnsi="Arial"/>
          <w:color w:val="1A2434"/>
          <w:sz w:val="21"/>
          <w:szCs w:val="21"/>
        </w:rPr>
        <w:t xml:space="preserve">, results 2026-10-22), the rules inventory (</w:t>
      </w:r>
      <w:r>
        <w:rPr>
          <w:rFonts w:ascii="Consolas" w:cs="Consolas" w:eastAsia="Consolas" w:hAnsi="Consolas"/>
          <w:color w:val="334155"/>
          <w:sz w:val="19"/>
          <w:szCs w:val="19"/>
        </w:rPr>
        <w:t xml:space="preserve">docs/computyme-rules/</w:t>
      </w:r>
      <w:r>
        <w:rPr>
          <w:rFonts w:ascii="Arial" w:cs="Arial" w:eastAsia="Arial" w:hAnsi="Arial"/>
          <w:color w:val="1A2434"/>
          <w:sz w:val="21"/>
          <w:szCs w:val="21"/>
        </w:rPr>
        <w:t xml:space="preserve">) and the full extractions in </w:t>
      </w:r>
      <w:r>
        <w:rPr>
          <w:rFonts w:ascii="Consolas" w:cs="Consolas" w:eastAsia="Consolas" w:hAnsi="Consolas"/>
          <w:color w:val="334155"/>
          <w:sz w:val="19"/>
          <w:szCs w:val="19"/>
        </w:rPr>
        <w:t xml:space="preserve">docs/extracted-rules/</w:t>
      </w:r>
      <w:r>
        <w:rPr>
          <w:rFonts w:ascii="Arial" w:cs="Arial" w:eastAsia="Arial" w:hAnsi="Arial"/>
          <w:color w:val="1A2434"/>
          <w:sz w:val="21"/>
          <w:szCs w:val="21"/>
        </w:rPr>
        <w:t xml:space="preserve">. Rule IDs below point into those files.</w:t>
      </w:r>
    </w:p>
    <w:p>
      <w:pPr>
        <w:pStyle w:val="Heading1"/>
        <w:spacing w:after="120" w:before="280"/>
      </w:pPr>
      <w:r>
        <w:rPr>
          <w:rFonts w:ascii="Arial" w:cs="Arial" w:eastAsia="Arial" w:hAnsi="Arial"/>
          <w:b/>
          <w:bCs/>
          <w:color w:val="1A2434"/>
          <w:sz w:val="28"/>
          <w:szCs w:val="28"/>
        </w:rPr>
        <w:t xml:space="preserve">What Computyme actually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5"/>
        <w:gridCol w:w="2595"/>
        <w:gridCol w:w="5560"/>
      </w:tblGrid>
      <w:tr>
        <w:trPr>
          <w:tblHeader/>
        </w:trPr>
        <w:tc>
          <w:tcPr>
            <w:tcW w:type="dxa" w:w="1205"/>
            <w:tcBorders>
              <w:top w:val="single" w:color="D9DEE6" w:sz="4"/>
              <w:left w:val="single" w:color="D9DEE6" w:sz="4"/>
              <w:bottom w:val="single" w:color="D9DEE6" w:sz="4"/>
              <w:right w:val="single" w:color="D9DEE6" w:sz="4"/>
            </w:tcBorders>
            <w:shd w:fill="EEF1F5" w:color="auto" w:val="clear"/>
            <w:tcMar>
              <w:top w:type="dxa" w:w="70"/>
              <w:left w:type="dxa" w:w="110"/>
              <w:bottom w:type="dxa" w:w="70"/>
              <w:right w:type="dxa" w:w="110"/>
            </w:tcMar>
          </w:tcPr>
          <w:p>
            <w:r>
              <w:rPr>
                <w:rFonts w:ascii="Arial" w:cs="Arial" w:eastAsia="Arial" w:hAnsi="Arial"/>
                <w:b/>
                <w:bCs/>
                <w:color w:val="1A2434"/>
                <w:sz w:val="18"/>
                <w:szCs w:val="18"/>
              </w:rPr>
              <w:t xml:space="preserve">Thing</w:t>
            </w:r>
          </w:p>
        </w:tc>
        <w:tc>
          <w:tcPr>
            <w:tcW w:type="dxa" w:w="2595"/>
            <w:tcBorders>
              <w:top w:val="single" w:color="D9DEE6" w:sz="4"/>
              <w:left w:val="single" w:color="D9DEE6" w:sz="4"/>
              <w:bottom w:val="single" w:color="D9DEE6" w:sz="4"/>
              <w:right w:val="single" w:color="D9DEE6" w:sz="4"/>
            </w:tcBorders>
            <w:shd w:fill="EEF1F5" w:color="auto" w:val="clear"/>
            <w:tcMar>
              <w:top w:type="dxa" w:w="70"/>
              <w:left w:type="dxa" w:w="110"/>
              <w:bottom w:type="dxa" w:w="70"/>
              <w:right w:type="dxa" w:w="110"/>
            </w:tcMar>
          </w:tcPr>
          <w:p>
            <w:r>
              <w:rPr>
                <w:rFonts w:ascii="Arial" w:cs="Arial" w:eastAsia="Arial" w:hAnsi="Arial"/>
                <w:b/>
                <w:bCs/>
                <w:color w:val="1A2434"/>
                <w:sz w:val="18"/>
                <w:szCs w:val="18"/>
              </w:rPr>
              <w:t xml:space="preserve">Where it lives</w:t>
            </w:r>
          </w:p>
        </w:tc>
        <w:tc>
          <w:tcPr>
            <w:tcW w:type="dxa" w:w="5560"/>
            <w:tcBorders>
              <w:top w:val="single" w:color="D9DEE6" w:sz="4"/>
              <w:left w:val="single" w:color="D9DEE6" w:sz="4"/>
              <w:bottom w:val="single" w:color="D9DEE6" w:sz="4"/>
              <w:right w:val="single" w:color="D9DEE6" w:sz="4"/>
            </w:tcBorders>
            <w:shd w:fill="EEF1F5" w:color="auto" w:val="clear"/>
            <w:tcMar>
              <w:top w:type="dxa" w:w="70"/>
              <w:left w:type="dxa" w:w="110"/>
              <w:bottom w:type="dxa" w:w="70"/>
              <w:right w:type="dxa" w:w="110"/>
            </w:tcMar>
          </w:tcPr>
          <w:p>
            <w:r>
              <w:rPr>
                <w:rFonts w:ascii="Arial" w:cs="Arial" w:eastAsia="Arial" w:hAnsi="Arial"/>
                <w:b/>
                <w:bCs/>
                <w:color w:val="1A2434"/>
                <w:sz w:val="18"/>
                <w:szCs w:val="18"/>
              </w:rPr>
              <w:t xml:space="preserve">What it really is</w:t>
            </w:r>
          </w:p>
        </w:tc>
      </w:tr>
      <w:tr>
        <w:trPr>
          <w:tblHeader w:val="off"/>
        </w:trPr>
        <w:tc>
          <w:tcPr>
            <w:tcW w:type="dxa" w:w="120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Vendor</w:t>
            </w:r>
          </w:p>
        </w:tc>
        <w:tc>
          <w:tcPr>
            <w:tcW w:type="dxa" w:w="259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APMST (191 rows, 4-digit ids 1009–9087)</w:t>
            </w:r>
          </w:p>
        </w:tc>
        <w:tc>
          <w:tcPr>
            <w:tcW w:type="dxa" w:w="5560"/>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Who we buy from and pay. Every product's actual vendor (IVMST 37 </w:t>
            </w:r>
            <w:r>
              <w:rPr>
                <w:rFonts w:ascii="Consolas" w:cs="Consolas" w:eastAsia="Consolas" w:hAnsi="Consolas"/>
                <w:color w:val="334155"/>
                <w:sz w:val="16"/>
                <w:szCs w:val="16"/>
              </w:rPr>
              <w:t xml:space="preserve">A.VENDOR</w:t>
            </w:r>
            <w:r>
              <w:rPr>
                <w:rFonts w:ascii="Arial" w:cs="Arial" w:eastAsia="Arial" w:hAnsi="Arial"/>
                <w:color w:val="1A2434"/>
                <w:sz w:val="18"/>
                <w:szCs w:val="18"/>
              </w:rPr>
              <w:t xml:space="preserve">) points here; 81 have products. PIV2's </w:t>
            </w:r>
            <w:r>
              <w:rPr>
                <w:rFonts w:ascii="Consolas" w:cs="Consolas" w:eastAsia="Consolas" w:hAnsi="Consolas"/>
                <w:color w:val="334155"/>
                <w:sz w:val="16"/>
                <w:szCs w:val="16"/>
              </w:rPr>
              <w:t xml:space="preserve">dbo.Vendor</w:t>
            </w:r>
            <w:r>
              <w:rPr>
                <w:rFonts w:ascii="Arial" w:cs="Arial" w:eastAsia="Arial" w:hAnsi="Arial"/>
                <w:color w:val="1A2434"/>
                <w:sz w:val="18"/>
                <w:szCs w:val="18"/>
              </w:rPr>
              <w:t xml:space="preserve"> already uses these ids.</w:t>
            </w:r>
          </w:p>
        </w:tc>
      </w:tr>
      <w:tr>
        <w:trPr>
          <w:tblHeader w:val="off"/>
        </w:trPr>
        <w:tc>
          <w:tcPr>
            <w:tcW w:type="dxa" w:w="120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Vendor group</w:t>
            </w:r>
          </w:p>
        </w:tc>
        <w:tc>
          <w:tcPr>
            <w:tcW w:type="dxa" w:w="259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VNMST, ids 479 / 497 / 500 / 600 / 700 / 900 / 992 / 999</w:t>
            </w:r>
          </w:p>
        </w:tc>
        <w:tc>
          <w:tcPr>
            <w:tcW w:type="dxa" w:w="5560"/>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Product buckets, not vendors. 497 PRO General Merchandise holds 6,366 products across 71 real vendors; 479 Bags-Tripods-Lighting 1,832; 992 private label 918. Code hangs rules on these numbers (terms, fast shipping, returns credit, dated orders).</w:t>
            </w:r>
          </w:p>
        </w:tc>
      </w:tr>
      <w:tr>
        <w:trPr>
          <w:tblHeader w:val="off"/>
        </w:trPr>
        <w:tc>
          <w:tcPr>
            <w:tcW w:type="dxa" w:w="120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Direct-billing program</w:t>
            </w:r>
          </w:p>
        </w:tc>
        <w:tc>
          <w:tcPr>
            <w:tcW w:type="dxa" w:w="259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VNMST, the other ~46 rows (3-digit ids)</w:t>
            </w:r>
          </w:p>
        </w:tc>
        <w:tc>
          <w:tcPr>
            <w:tcW w:type="dxa" w:w="5560"/>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Vendors members buy from direct while PRO bills a surcharge (2–4%). No products. APID links each to its AP vendor.</w:t>
            </w:r>
          </w:p>
        </w:tc>
      </w:tr>
      <w:tr>
        <w:trPr>
          <w:tblHeader w:val="off"/>
        </w:trPr>
        <w:tc>
          <w:tcPr>
            <w:tcW w:type="dxa" w:w="120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Brand → vendor</w:t>
            </w:r>
          </w:p>
        </w:tc>
        <w:tc>
          <w:tcPr>
            <w:tcW w:type="dxa" w:w="259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Consolas" w:cs="Consolas" w:eastAsia="Consolas" w:hAnsi="Consolas"/>
                <w:color w:val="334155"/>
                <w:sz w:val="16"/>
                <w:szCs w:val="16"/>
              </w:rPr>
              <w:t xml:space="preserve">dbo.Brand.VendorID</w:t>
            </w:r>
          </w:p>
        </w:tc>
        <w:tc>
          <w:tcPr>
            <w:tcW w:type="dxa" w:w="5560"/>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The only link. </w:t>
            </w:r>
            <w:r>
              <w:rPr>
                <w:rFonts w:ascii="Consolas" w:cs="Consolas" w:eastAsia="Consolas" w:hAnsi="Consolas"/>
                <w:color w:val="334155"/>
                <w:sz w:val="16"/>
                <w:szCs w:val="16"/>
              </w:rPr>
              <w:t xml:space="preserve">dbo.VendorBrand</w:t>
            </w:r>
            <w:r>
              <w:rPr>
                <w:rFonts w:ascii="Arial" w:cs="Arial" w:eastAsia="Arial" w:hAnsi="Arial"/>
                <w:color w:val="1A2434"/>
                <w:sz w:val="18"/>
                <w:szCs w:val="18"/>
              </w:rPr>
              <w:t xml:space="preserve"> is empty. 93 brands point at an AP vendor, 39 have none (DJI 191 products, Phottix 374, Elinchrom 254), ProMaster points at PIV2-only vendor 1.</w:t>
            </w:r>
          </w:p>
        </w:tc>
      </w:tr>
      <w:tr>
        <w:trPr>
          <w:tblHeader w:val="off"/>
        </w:trPr>
        <w:tc>
          <w:tcPr>
            <w:tcW w:type="dxa" w:w="120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VENDXREF</w:t>
            </w:r>
          </w:p>
        </w:tc>
        <w:tc>
          <w:tcPr>
            <w:tcW w:type="dxa" w:w="259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not in EDA</w:t>
            </w:r>
          </w:p>
        </w:tc>
        <w:tc>
          <w:tcPr>
            <w:tcW w:type="dxa" w:w="5560"/>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Used only by IPBILL; nothing writes it. Ignore.</w:t>
            </w:r>
          </w:p>
        </w:tc>
      </w:tr>
      <w:tr>
        <w:trPr>
          <w:tblHeader w:val="off"/>
        </w:trPr>
        <w:tc>
          <w:tcPr>
            <w:tcW w:type="dxa" w:w="120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171 PIV2-only vendors</w:t>
            </w:r>
          </w:p>
        </w:tc>
        <w:tc>
          <w:tcPr>
            <w:tcW w:type="dxa" w:w="2595"/>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Consolas" w:cs="Consolas" w:eastAsia="Consolas" w:hAnsi="Consolas"/>
                <w:color w:val="334155"/>
                <w:sz w:val="16"/>
                <w:szCs w:val="16"/>
              </w:rPr>
              <w:t xml:space="preserve">dbo.Vendor</w:t>
            </w:r>
          </w:p>
        </w:tc>
        <w:tc>
          <w:tcPr>
            <w:tcW w:type="dxa" w:w="5560"/>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Dead AP vendors: no products, no brands. Already hidden in the grid.</w:t>
            </w:r>
          </w:p>
        </w:tc>
      </w:tr>
    </w:tbl>
    <w:p>
      <w:pPr>
        <w:spacing w:after="60"/>
      </w:pPr>
    </w:p>
    <w:p>
      <w:pPr>
        <w:spacing w:after="120"/>
      </w:pPr>
      <w:r>
        <w:rPr>
          <w:rFonts w:ascii="Arial" w:cs="Arial" w:eastAsia="Arial" w:hAnsi="Arial"/>
          <w:color w:val="1A2434"/>
          <w:sz w:val="21"/>
          <w:szCs w:val="21"/>
        </w:rPr>
        <w:t xml:space="preserve">VNMST and APMST ids never collide (3 vs 4 digits), which is why Computyme gets away with a PO vendor field that holds either (IV46.07, IV45.03).</w:t>
      </w:r>
    </w:p>
    <w:p>
      <w:pPr>
        <w:pStyle w:val="Heading1"/>
        <w:spacing w:after="120" w:before="280"/>
      </w:pPr>
      <w:r>
        <w:rPr>
          <w:rFonts w:ascii="Arial" w:cs="Arial" w:eastAsia="Arial" w:hAnsi="Arial"/>
          <w:b/>
          <w:bCs/>
          <w:color w:val="1A2434"/>
          <w:sz w:val="28"/>
          <w:szCs w:val="28"/>
        </w:rPr>
        <w:t xml:space="preserve">Direction (Mark, 2026-10-22)</w:t>
      </w:r>
    </w:p>
    <w:p>
      <w:pPr>
        <w:pStyle w:val="ListParagraph"/>
        <w:numPr>
          <w:ilvl w:val="0"/>
          <w:numId w:val="2"/>
        </w:numPr>
        <w:spacing w:after="60"/>
      </w:pPr>
      <w:r>
        <w:rPr>
          <w:rFonts w:ascii="Arial" w:cs="Arial" w:eastAsia="Arial" w:hAnsi="Arial"/>
          <w:color w:val="1A2434"/>
          <w:sz w:val="21"/>
          <w:szCs w:val="21"/>
        </w:rPr>
        <w:t xml:space="preserve">End state: Computyme only runs warehouse distribution. Vendors, products, purchasing, terms and accounting move to PIV2 a section at a time.</w:t>
      </w:r>
    </w:p>
    <w:p>
      <w:pPr>
        <w:pStyle w:val="ListParagraph"/>
        <w:numPr>
          <w:ilvl w:val="0"/>
          <w:numId w:val="2"/>
        </w:numPr>
        <w:spacing w:after="60"/>
      </w:pPr>
      <w:r>
        <w:rPr>
          <w:rFonts w:ascii="Arial" w:cs="Arial" w:eastAsia="Arial" w:hAnsi="Arial"/>
          <w:color w:val="1A2434"/>
          <w:sz w:val="21"/>
          <w:szCs w:val="21"/>
        </w:rPr>
        <w:t xml:space="preserve">First </w:t>
      </w:r>
      <w:r>
        <w:rPr>
          <w:rFonts w:ascii="Arial" w:cs="Arial" w:eastAsia="Arial" w:hAnsi="Arial"/>
          <w:b/>
          <w:bCs/>
          <w:color w:val="1A2434"/>
          <w:sz w:val="21"/>
          <w:szCs w:val="21"/>
        </w:rPr>
        <w:t xml:space="preserve">show what Computyme has, as it is</w:t>
      </w:r>
      <w:r>
        <w:rPr>
          <w:rFonts w:ascii="Arial" w:cs="Arial" w:eastAsia="Arial" w:hAnsi="Arial"/>
          <w:color w:val="1A2434"/>
          <w:sz w:val="21"/>
          <w:szCs w:val="21"/>
        </w:rPr>
        <w:t xml:space="preserve"> (read-only, from the EDA mirror) instead of coding around it; then extend in PIV2; then cut each section over.</w:t>
      </w:r>
    </w:p>
    <w:p>
      <w:pPr>
        <w:pStyle w:val="ListParagraph"/>
        <w:numPr>
          <w:ilvl w:val="0"/>
          <w:numId w:val="2"/>
        </w:numPr>
        <w:spacing w:after="60"/>
      </w:pPr>
      <w:r>
        <w:rPr>
          <w:rFonts w:ascii="Arial" w:cs="Arial" w:eastAsia="Arial" w:hAnsi="Arial"/>
          <w:b/>
          <w:bCs/>
          <w:color w:val="1A2434"/>
          <w:sz w:val="21"/>
          <w:szCs w:val="21"/>
        </w:rPr>
        <w:t xml:space="preserve">Never break the B2B site.</w:t>
      </w:r>
      <w:r>
        <w:rPr>
          <w:rFonts w:ascii="Arial" w:cs="Arial" w:eastAsia="Arial" w:hAnsi="Arial"/>
          <w:color w:val="1A2434"/>
          <w:sz w:val="21"/>
          <w:szCs w:val="21"/>
        </w:rPr>
        <w:t xml:space="preserve"> It reads </w:t>
      </w:r>
      <w:r>
        <w:rPr>
          <w:rFonts w:ascii="Consolas" w:cs="Consolas" w:eastAsia="Consolas" w:hAnsi="Consolas"/>
          <w:color w:val="334155"/>
          <w:sz w:val="19"/>
          <w:szCs w:val="19"/>
        </w:rPr>
        <w:t xml:space="preserve">dbo.Product</w:t>
      </w:r>
      <w:r>
        <w:rPr>
          <w:rFonts w:ascii="Arial" w:cs="Arial" w:eastAsia="Arial" w:hAnsi="Arial"/>
          <w:color w:val="1A2434"/>
          <w:sz w:val="21"/>
          <w:szCs w:val="21"/>
        </w:rPr>
        <w:t xml:space="preserve"> (IVMST data), </w:t>
      </w:r>
      <w:r>
        <w:rPr>
          <w:rFonts w:ascii="Consolas" w:cs="Consolas" w:eastAsia="Consolas" w:hAnsi="Consolas"/>
          <w:color w:val="334155"/>
          <w:sz w:val="19"/>
          <w:szCs w:val="19"/>
        </w:rPr>
        <w:t xml:space="preserve">dbo.Brand.VendorID</w:t>
      </w:r>
      <w:r>
        <w:rPr>
          <w:rFonts w:ascii="Arial" w:cs="Arial" w:eastAsia="Arial" w:hAnsi="Arial"/>
          <w:color w:val="1A2434"/>
          <w:sz w:val="21"/>
          <w:szCs w:val="21"/>
        </w:rPr>
        <w:t xml:space="preserve"> (vendor filter) and IVMST status 3 (discontinued). Any change to those is reviewed first.</w:t>
      </w:r>
    </w:p>
    <w:p>
      <w:pPr>
        <w:pStyle w:val="ListParagraph"/>
        <w:numPr>
          <w:ilvl w:val="0"/>
          <w:numId w:val="2"/>
        </w:numPr>
        <w:spacing w:after="60"/>
      </w:pPr>
      <w:r>
        <w:rPr>
          <w:rFonts w:ascii="Arial" w:cs="Arial" w:eastAsia="Arial" w:hAnsi="Arial"/>
          <w:color w:val="1A2434"/>
          <w:sz w:val="21"/>
          <w:szCs w:val="21"/>
        </w:rPr>
        <w:t xml:space="preserve">Every screen and the cutover map must say clearly, per section and per field, whether </w:t>
      </w:r>
      <w:r>
        <w:rPr>
          <w:rFonts w:ascii="Arial" w:cs="Arial" w:eastAsia="Arial" w:hAnsi="Arial"/>
          <w:b/>
          <w:bCs/>
          <w:color w:val="1A2434"/>
          <w:sz w:val="21"/>
          <w:szCs w:val="21"/>
        </w:rPr>
        <w:t xml:space="preserve">Computyme is master</w:t>
      </w:r>
      <w:r>
        <w:rPr>
          <w:rFonts w:ascii="Arial" w:cs="Arial" w:eastAsia="Arial" w:hAnsi="Arial"/>
          <w:color w:val="1A2434"/>
          <w:sz w:val="21"/>
          <w:szCs w:val="21"/>
        </w:rPr>
        <w:t xml:space="preserve">, </w:t>
      </w:r>
      <w:r>
        <w:rPr>
          <w:rFonts w:ascii="Arial" w:cs="Arial" w:eastAsia="Arial" w:hAnsi="Arial"/>
          <w:b/>
          <w:bCs/>
          <w:color w:val="1A2434"/>
          <w:sz w:val="21"/>
          <w:szCs w:val="21"/>
        </w:rPr>
        <w:t xml:space="preserve">SQL is master</w:t>
      </w:r>
      <w:r>
        <w:rPr>
          <w:rFonts w:ascii="Arial" w:cs="Arial" w:eastAsia="Arial" w:hAnsi="Arial"/>
          <w:color w:val="1A2434"/>
          <w:sz w:val="21"/>
          <w:szCs w:val="21"/>
        </w:rPr>
        <w:t xml:space="preserve">, or it's a </w:t>
      </w:r>
      <w:r>
        <w:rPr>
          <w:rFonts w:ascii="Arial" w:cs="Arial" w:eastAsia="Arial" w:hAnsi="Arial"/>
          <w:b/>
          <w:bCs/>
          <w:color w:val="1A2434"/>
          <w:sz w:val="21"/>
          <w:szCs w:val="21"/>
        </w:rPr>
        <w:t xml:space="preserve">PIV2 extension</w:t>
      </w:r>
      <w:r>
        <w:rPr>
          <w:rFonts w:ascii="Arial" w:cs="Arial" w:eastAsia="Arial" w:hAnsi="Arial"/>
          <w:color w:val="1A2434"/>
          <w:sz w:val="21"/>
          <w:szCs w:val="21"/>
        </w:rPr>
        <w:t xml:space="preserve"> (exists only in PIV2).</w:t>
      </w:r>
    </w:p>
    <w:p>
      <w:pPr>
        <w:pStyle w:val="ListParagraph"/>
        <w:numPr>
          <w:ilvl w:val="0"/>
          <w:numId w:val="2"/>
        </w:numPr>
        <w:spacing w:after="60"/>
      </w:pPr>
      <w:r>
        <w:rPr>
          <w:rFonts w:ascii="Arial" w:cs="Arial" w:eastAsia="Arial" w:hAnsi="Arial"/>
          <w:color w:val="1A2434"/>
          <w:sz w:val="21"/>
          <w:szCs w:val="21"/>
        </w:rPr>
        <w:t xml:space="preserve">POs are </w:t>
      </w:r>
      <w:r>
        <w:rPr>
          <w:rFonts w:ascii="Arial" w:cs="Arial" w:eastAsia="Arial" w:hAnsi="Arial"/>
          <w:b/>
          <w:bCs/>
          <w:color w:val="1A2434"/>
          <w:sz w:val="21"/>
          <w:szCs w:val="21"/>
        </w:rPr>
        <w:t xml:space="preserve">not</w:t>
      </w:r>
      <w:r>
        <w:rPr>
          <w:rFonts w:ascii="Arial" w:cs="Arial" w:eastAsia="Arial" w:hAnsi="Arial"/>
          <w:color w:val="1A2434"/>
          <w:sz w:val="21"/>
          <w:szCs w:val="21"/>
        </w:rPr>
        <w:t xml:space="preserve"> cut over yet: PIV2 displays Computyme's POs and the suggested order; it doesn't create POs.</w:t>
      </w:r>
    </w:p>
    <w:p>
      <w:pPr>
        <w:pStyle w:val="Heading1"/>
        <w:spacing w:after="120" w:before="280"/>
      </w:pPr>
      <w:r>
        <w:rPr>
          <w:rFonts w:ascii="Arial" w:cs="Arial" w:eastAsia="Arial" w:hAnsi="Arial"/>
          <w:b/>
          <w:bCs/>
          <w:color w:val="1A2434"/>
          <w:sz w:val="28"/>
          <w:szCs w:val="28"/>
        </w:rPr>
        <w:t xml:space="preserve">The cutover pattern</w:t>
      </w:r>
    </w:p>
    <w:p>
      <w:pPr>
        <w:spacing w:after="120"/>
      </w:pPr>
      <w:r>
        <w:rPr>
          <w:rFonts w:ascii="Arial" w:cs="Arial" w:eastAsia="Arial" w:hAnsi="Arial"/>
          <w:color w:val="1A2434"/>
          <w:sz w:val="21"/>
          <w:szCs w:val="21"/>
        </w:rPr>
        <w:t xml:space="preserve">The </w:t>
      </w:r>
      <w:r>
        <w:rPr>
          <w:rFonts w:ascii="Arial" w:cs="Arial" w:eastAsia="Arial" w:hAnsi="Arial"/>
          <w:b/>
          <w:bCs/>
          <w:color w:val="1A2434"/>
          <w:sz w:val="21"/>
          <w:szCs w:val="21"/>
        </w:rPr>
        <w:t xml:space="preserve">Cutover map</w:t>
      </w:r>
      <w:r>
        <w:rPr>
          <w:rFonts w:ascii="Arial" w:cs="Arial" w:eastAsia="Arial" w:hAnsi="Arial"/>
          <w:color w:val="1A2434"/>
          <w:sz w:val="21"/>
          <w:szCs w:val="21"/>
        </w:rPr>
        <w:t xml:space="preserve"> (</w:t>
      </w:r>
      <w:r>
        <w:rPr>
          <w:rFonts w:ascii="Consolas" w:cs="Consolas" w:eastAsia="Consolas" w:hAnsi="Consolas"/>
          <w:color w:val="334155"/>
          <w:sz w:val="19"/>
          <w:szCs w:val="19"/>
        </w:rPr>
        <w:t xml:space="preserve">/cutover</w:t>
      </w:r>
      <w:r>
        <w:rPr>
          <w:rFonts w:ascii="Arial" w:cs="Arial" w:eastAsia="Arial" w:hAnsi="Arial"/>
          <w:color w:val="1A2434"/>
          <w:sz w:val="21"/>
          <w:szCs w:val="21"/>
        </w:rPr>
        <w:t xml:space="preserve">, table </w:t>
      </w:r>
      <w:r>
        <w:rPr>
          <w:rFonts w:ascii="Consolas" w:cs="Consolas" w:eastAsia="Consolas" w:hAnsi="Consolas"/>
          <w:color w:val="334155"/>
          <w:sz w:val="19"/>
          <w:szCs w:val="19"/>
        </w:rPr>
        <w:t xml:space="preserve">piv2.CutoverSection</w:t>
      </w:r>
      <w:r>
        <w:rPr>
          <w:rFonts w:ascii="Arial" w:cs="Arial" w:eastAsia="Arial" w:hAnsi="Arial"/>
          <w:color w:val="1A2434"/>
          <w:sz w:val="21"/>
          <w:szCs w:val="21"/>
        </w:rPr>
        <w:t xml:space="preserve">) lists every section of the business with its master: </w:t>
      </w:r>
      <w:r>
        <w:rPr>
          <w:rFonts w:ascii="Arial" w:cs="Arial" w:eastAsia="Arial" w:hAnsi="Arial"/>
          <w:b/>
          <w:bCs/>
          <w:color w:val="1A2434"/>
          <w:sz w:val="21"/>
          <w:szCs w:val="21"/>
        </w:rPr>
        <w:t xml:space="preserve">Computyme master</w:t>
      </w:r>
      <w:r>
        <w:rPr>
          <w:rFonts w:ascii="Arial" w:cs="Arial" w:eastAsia="Arial" w:hAnsi="Arial"/>
          <w:color w:val="1A2434"/>
          <w:sz w:val="21"/>
          <w:szCs w:val="21"/>
        </w:rPr>
        <w:t xml:space="preserve"> (lock, read only in PIV2), </w:t>
      </w:r>
      <w:r>
        <w:rPr>
          <w:rFonts w:ascii="Arial" w:cs="Arial" w:eastAsia="Arial" w:hAnsi="Arial"/>
          <w:b/>
          <w:bCs/>
          <w:color w:val="1A2434"/>
          <w:sz w:val="21"/>
          <w:szCs w:val="21"/>
        </w:rPr>
        <w:t xml:space="preserve">SQL master</w:t>
      </w:r>
      <w:r>
        <w:rPr>
          <w:rFonts w:ascii="Arial" w:cs="Arial" w:eastAsia="Arial" w:hAnsi="Arial"/>
          <w:color w:val="1A2434"/>
          <w:sz w:val="21"/>
          <w:szCs w:val="21"/>
        </w:rPr>
        <w:t xml:space="preserve"> (edited in PIV2), </w:t>
      </w:r>
      <w:r>
        <w:rPr>
          <w:rFonts w:ascii="Arial" w:cs="Arial" w:eastAsia="Arial" w:hAnsi="Arial"/>
          <w:b/>
          <w:bCs/>
          <w:color w:val="1A2434"/>
          <w:sz w:val="21"/>
          <w:szCs w:val="21"/>
        </w:rPr>
        <w:t xml:space="preserve">PIV2 extension</w:t>
      </w:r>
      <w:r>
        <w:rPr>
          <w:rFonts w:ascii="Arial" w:cs="Arial" w:eastAsia="Arial" w:hAnsi="Arial"/>
          <w:color w:val="1A2434"/>
          <w:sz w:val="21"/>
          <w:szCs w:val="21"/>
        </w:rPr>
        <w:t xml:space="preserve"> (exists only in PIV2) or </w:t>
      </w:r>
      <w:r>
        <w:rPr>
          <w:rFonts w:ascii="Arial" w:cs="Arial" w:eastAsia="Arial" w:hAnsi="Arial"/>
          <w:b/>
          <w:bCs/>
          <w:color w:val="1A2434"/>
          <w:sz w:val="21"/>
          <w:szCs w:val="21"/>
        </w:rPr>
        <w:t xml:space="preserve">Mixed</w:t>
      </w:r>
      <w:r>
        <w:rPr>
          <w:rFonts w:ascii="Arial" w:cs="Arial" w:eastAsia="Arial" w:hAnsi="Arial"/>
          <w:color w:val="1A2434"/>
          <w:sz w:val="21"/>
          <w:szCs w:val="21"/>
        </w:rPr>
        <w:t xml:space="preserve">. Sections the B2B site reads are tagged. Changing a section's master needs the </w:t>
      </w:r>
      <w:r>
        <w:rPr>
          <w:rFonts w:ascii="Consolas" w:cs="Consolas" w:eastAsia="Consolas" w:hAnsi="Consolas"/>
          <w:color w:val="334155"/>
          <w:sz w:val="19"/>
          <w:szCs w:val="19"/>
        </w:rPr>
        <w:t xml:space="preserve">Cutover.Admin</w:t>
      </w:r>
      <w:r>
        <w:rPr>
          <w:rFonts w:ascii="Arial" w:cs="Arial" w:eastAsia="Arial" w:hAnsi="Arial"/>
          <w:color w:val="1A2434"/>
          <w:sz w:val="21"/>
          <w:szCs w:val="21"/>
        </w:rPr>
        <w:t xml:space="preserve"> permission and a reason, and is logged. </w:t>
      </w:r>
      <w:r>
        <w:rPr>
          <w:rFonts w:ascii="Consolas" w:cs="Consolas" w:eastAsia="Consolas" w:hAnsi="Consolas"/>
          <w:color w:val="334155"/>
          <w:sz w:val="19"/>
          <w:szCs w:val="19"/>
        </w:rPr>
        <w:t xml:space="preserve">Product:SqlIsMaster</w:t>
      </w:r>
      <w:r>
        <w:rPr>
          <w:rFonts w:ascii="Arial" w:cs="Arial" w:eastAsia="Arial" w:hAnsi="Arial"/>
          <w:color w:val="1A2434"/>
          <w:sz w:val="21"/>
          <w:szCs w:val="21"/>
        </w:rPr>
        <w:t xml:space="preserve"> stays as it is for the product fields.</w:t>
      </w:r>
    </w:p>
    <w:p>
      <w:pPr>
        <w:pStyle w:val="ListParagraph"/>
        <w:numPr>
          <w:ilvl w:val="0"/>
          <w:numId w:val="2"/>
        </w:numPr>
        <w:spacing w:after="60"/>
      </w:pPr>
      <w:r>
        <w:rPr>
          <w:rFonts w:ascii="Arial" w:cs="Arial" w:eastAsia="Arial" w:hAnsi="Arial"/>
          <w:b/>
          <w:bCs/>
          <w:color w:val="1A2434"/>
          <w:sz w:val="21"/>
          <w:szCs w:val="21"/>
        </w:rPr>
        <w:t xml:space="preserve">Before the switch:</w:t>
      </w:r>
      <w:r>
        <w:rPr>
          <w:rFonts w:ascii="Arial" w:cs="Arial" w:eastAsia="Arial" w:hAnsi="Arial"/>
          <w:color w:val="1A2434"/>
          <w:sz w:val="21"/>
          <w:szCs w:val="21"/>
        </w:rPr>
        <w:t xml:space="preserve"> PIV2 reads Computyme through the EDA mirror. Computyme-owned fields show the lock. Fields PIV2 owns are editable from day one.</w:t>
      </w:r>
    </w:p>
    <w:p>
      <w:pPr>
        <w:pStyle w:val="ListParagraph"/>
        <w:numPr>
          <w:ilvl w:val="0"/>
          <w:numId w:val="2"/>
        </w:numPr>
        <w:spacing w:after="60"/>
      </w:pPr>
      <w:r>
        <w:rPr>
          <w:rFonts w:ascii="Arial" w:cs="Arial" w:eastAsia="Arial" w:hAnsi="Arial"/>
          <w:b/>
          <w:bCs/>
          <w:color w:val="1A2434"/>
          <w:sz w:val="21"/>
          <w:szCs w:val="21"/>
        </w:rPr>
        <w:t xml:space="preserve">Reconcile:</w:t>
      </w:r>
      <w:r>
        <w:rPr>
          <w:rFonts w:ascii="Arial" w:cs="Arial" w:eastAsia="Arial" w:hAnsi="Arial"/>
          <w:color w:val="1A2434"/>
          <w:sz w:val="21"/>
          <w:szCs w:val="21"/>
        </w:rPr>
        <w:t xml:space="preserve"> PIV2 compares SQL with Computyme and lists every mismatch for a person to decide; nothing is overwritten automatically in either direction.</w:t>
      </w:r>
    </w:p>
    <w:p>
      <w:pPr>
        <w:pStyle w:val="ListParagraph"/>
        <w:numPr>
          <w:ilvl w:val="0"/>
          <w:numId w:val="2"/>
        </w:numPr>
        <w:spacing w:after="60"/>
      </w:pPr>
      <w:r>
        <w:rPr>
          <w:rFonts w:ascii="Arial" w:cs="Arial" w:eastAsia="Arial" w:hAnsi="Arial"/>
          <w:b/>
          <w:bCs/>
          <w:color w:val="1A2434"/>
          <w:sz w:val="21"/>
          <w:szCs w:val="21"/>
        </w:rPr>
        <w:t xml:space="preserve">The switch:</w:t>
      </w:r>
      <w:r>
        <w:rPr>
          <w:rFonts w:ascii="Arial" w:cs="Arial" w:eastAsia="Arial" w:hAnsi="Arial"/>
          <w:color w:val="1A2434"/>
          <w:sz w:val="21"/>
          <w:szCs w:val="21"/>
        </w:rPr>
        <w:t xml:space="preserve"> that comparison is the check before the flip. A section moves to SQL only when SQL matches Computyme: one-time copy into the PIV2 tables, flip the row, logged with who and why. Where Computyme still reads the data (warehouse, billing, AP), PIV2 sends it back through the outbox until that consumer is cut over too.</w:t>
      </w:r>
    </w:p>
    <w:p>
      <w:pPr>
        <w:pStyle w:val="Heading1"/>
        <w:spacing w:after="120" w:before="280"/>
      </w:pPr>
      <w:r>
        <w:rPr>
          <w:rFonts w:ascii="Arial" w:cs="Arial" w:eastAsia="Arial" w:hAnsi="Arial"/>
          <w:b/>
          <w:bCs/>
          <w:color w:val="1A2434"/>
          <w:sz w:val="28"/>
          <w:szCs w:val="28"/>
        </w:rPr>
        <w:t xml:space="preserve">Core rules to keep in view</w:t>
      </w:r>
    </w:p>
    <w:p>
      <w:pPr>
        <w:pStyle w:val="ListParagraph"/>
        <w:numPr>
          <w:ilvl w:val="0"/>
          <w:numId w:val="2"/>
        </w:numPr>
        <w:spacing w:after="60"/>
      </w:pPr>
      <w:r>
        <w:rPr>
          <w:rFonts w:ascii="Arial" w:cs="Arial" w:eastAsia="Arial" w:hAnsi="Arial"/>
          <w:b/>
          <w:bCs/>
          <w:color w:val="1A2434"/>
          <w:sz w:val="21"/>
          <w:szCs w:val="21"/>
        </w:rPr>
        <w:t xml:space="preserve">Suspend status (IVMST field 15)</w:t>
      </w:r>
      <w:r>
        <w:rPr>
          <w:rFonts w:ascii="Arial" w:cs="Arial" w:eastAsia="Arial" w:hAnsi="Arial"/>
          <w:color w:val="1A2434"/>
          <w:sz w:val="21"/>
          <w:szCs w:val="21"/>
        </w:rPr>
        <w:t xml:space="preserve"> is core. 1 = suspended, 2 = suspended with no stock or vendor orders but members waiting, 3 = suspended and nothing left anywhere (IV15.04). Order entry, order changes, billing and receiving recalculate it as stock runs out (IV3, IV5, IV7, IV.UPD.SCANORD, UPD.WEBORDERS), and suspended products can't be ordered beyond what's available. Status 3 is the B2B site's Discontinued, and the site then shows the replacement product. B2B-critical: cut over with order entry, not before.</w:t>
      </w:r>
    </w:p>
    <w:p>
      <w:pPr>
        <w:pStyle w:val="ListParagraph"/>
        <w:numPr>
          <w:ilvl w:val="0"/>
          <w:numId w:val="2"/>
        </w:numPr>
        <w:spacing w:after="60"/>
      </w:pPr>
      <w:r>
        <w:rPr>
          <w:rFonts w:ascii="Arial" w:cs="Arial" w:eastAsia="Arial" w:hAnsi="Arial"/>
          <w:b/>
          <w:bCs/>
          <w:color w:val="1A2434"/>
          <w:sz w:val="21"/>
          <w:szCs w:val="21"/>
        </w:rPr>
        <w:t xml:space="preserve">The Member Desk</w:t>
      </w:r>
      <w:r>
        <w:rPr>
          <w:rFonts w:ascii="Arial" w:cs="Arial" w:eastAsia="Arial" w:hAnsi="Arial"/>
          <w:color w:val="1A2434"/>
          <w:sz w:val="21"/>
          <w:szCs w:val="21"/>
        </w:rPr>
        <w:t xml:space="preserve"> sits on the same pattern: member accounts (ARMST) are Computyme master and the Member Desk adds PIV2 fields. It's on the cutover map and isn't being changed in this work.</w:t>
      </w:r>
    </w:p>
    <w:p>
      <w:pPr>
        <w:pStyle w:val="ListParagraph"/>
        <w:numPr>
          <w:ilvl w:val="0"/>
          <w:numId w:val="2"/>
        </w:numPr>
        <w:spacing w:after="60"/>
      </w:pPr>
      <w:r>
        <w:rPr>
          <w:rFonts w:ascii="Arial" w:cs="Arial" w:eastAsia="Arial" w:hAnsi="Arial"/>
          <w:b/>
          <w:bCs/>
          <w:color w:val="1A2434"/>
          <w:sz w:val="21"/>
          <w:szCs w:val="21"/>
        </w:rPr>
        <w:t xml:space="preserve">Exports:</w:t>
      </w:r>
      <w:r>
        <w:rPr>
          <w:rFonts w:ascii="Arial" w:cs="Arial" w:eastAsia="Arial" w:hAnsi="Arial"/>
          <w:color w:val="1A2434"/>
          <w:sz w:val="21"/>
          <w:szCs w:val="21"/>
        </w:rPr>
        <w:t xml:space="preserve"> every list in these screens exports to Excel.</w:t>
      </w:r>
    </w:p>
    <w:p>
      <w:pPr>
        <w:pStyle w:val="Heading1"/>
        <w:spacing w:after="120" w:before="280"/>
      </w:pPr>
      <w:r>
        <w:rPr>
          <w:rFonts w:ascii="Arial" w:cs="Arial" w:eastAsia="Arial" w:hAnsi="Arial"/>
          <w:b/>
          <w:bCs/>
          <w:color w:val="1A2434"/>
          <w:sz w:val="28"/>
          <w:szCs w:val="28"/>
        </w:rPr>
        <w:t xml:space="preserve">Pieces, in order</w:t>
      </w:r>
    </w:p>
    <w:p>
      <w:pPr>
        <w:pStyle w:val="Heading2"/>
        <w:spacing w:after="80" w:before="200"/>
      </w:pPr>
      <w:r>
        <w:rPr>
          <w:rFonts w:ascii="Arial" w:cs="Arial" w:eastAsia="Arial" w:hAnsi="Arial"/>
          <w:b/>
          <w:bCs/>
          <w:color w:val="0E7C73"/>
          <w:sz w:val="23"/>
          <w:szCs w:val="23"/>
        </w:rPr>
        <w:t xml:space="preserve">1. Brand → vendor link (PIV2 master now)</w:t>
      </w:r>
    </w:p>
    <w:p>
      <w:pPr>
        <w:spacing w:after="120"/>
      </w:pPr>
      <w:r>
        <w:rPr>
          <w:rFonts w:ascii="Arial" w:cs="Arial" w:eastAsia="Arial" w:hAnsi="Arial"/>
          <w:color w:val="1A2434"/>
          <w:sz w:val="21"/>
          <w:szCs w:val="21"/>
        </w:rPr>
        <w:t xml:space="preserve">No Computyme dependency.</w:t>
      </w:r>
    </w:p>
    <w:p>
      <w:pPr>
        <w:pStyle w:val="ListParagraph"/>
        <w:numPr>
          <w:ilvl w:val="0"/>
          <w:numId w:val="2"/>
        </w:numPr>
        <w:spacing w:after="60"/>
      </w:pPr>
      <w:r>
        <w:rPr>
          <w:rFonts w:ascii="Arial" w:cs="Arial" w:eastAsia="Arial" w:hAnsi="Arial"/>
          <w:color w:val="1A2434"/>
          <w:sz w:val="21"/>
          <w:szCs w:val="21"/>
        </w:rPr>
        <w:t xml:space="preserve">Keep </w:t>
      </w:r>
      <w:r>
        <w:rPr>
          <w:rFonts w:ascii="Consolas" w:cs="Consolas" w:eastAsia="Consolas" w:hAnsi="Consolas"/>
          <w:color w:val="334155"/>
          <w:sz w:val="19"/>
          <w:szCs w:val="19"/>
        </w:rPr>
        <w:t xml:space="preserve">Brand.VendorID</w:t>
      </w:r>
      <w:r>
        <w:rPr>
          <w:rFonts w:ascii="Arial" w:cs="Arial" w:eastAsia="Arial" w:hAnsi="Arial"/>
          <w:color w:val="1A2434"/>
          <w:sz w:val="21"/>
          <w:szCs w:val="21"/>
        </w:rPr>
        <w:t xml:space="preserve"> as the link; add </w:t>
      </w:r>
      <w:r>
        <w:rPr>
          <w:rFonts w:ascii="Consolas" w:cs="Consolas" w:eastAsia="Consolas" w:hAnsi="Consolas"/>
          <w:color w:val="334155"/>
          <w:sz w:val="19"/>
          <w:szCs w:val="19"/>
        </w:rPr>
        <w:t xml:space="preserve">piv2.BrandVendorHistory</w:t>
      </w:r>
      <w:r>
        <w:rPr>
          <w:rFonts w:ascii="Arial" w:cs="Arial" w:eastAsia="Arial" w:hAnsi="Arial"/>
          <w:color w:val="1A2434"/>
          <w:sz w:val="21"/>
          <w:szCs w:val="21"/>
        </w:rPr>
        <w:t xml:space="preserve"> (brand, old vendor, new vendor, who, when, why) so brands can move between vendors with a trail.</w:t>
      </w:r>
    </w:p>
    <w:p>
      <w:pPr>
        <w:pStyle w:val="ListParagraph"/>
        <w:numPr>
          <w:ilvl w:val="0"/>
          <w:numId w:val="2"/>
        </w:numPr>
        <w:spacing w:after="60"/>
      </w:pPr>
      <w:r>
        <w:rPr>
          <w:rFonts w:ascii="Arial" w:cs="Arial" w:eastAsia="Arial" w:hAnsi="Arial"/>
          <w:color w:val="1A2434"/>
          <w:sz w:val="21"/>
          <w:szCs w:val="21"/>
        </w:rPr>
        <w:t xml:space="preserve">Category Desk and product filters resolve vendor through </w:t>
      </w:r>
      <w:r>
        <w:rPr>
          <w:rFonts w:ascii="Consolas" w:cs="Consolas" w:eastAsia="Consolas" w:hAnsi="Consolas"/>
          <w:color w:val="334155"/>
          <w:sz w:val="19"/>
          <w:szCs w:val="19"/>
        </w:rPr>
        <w:t xml:space="preserve">Brand.VendorID</w:t>
      </w:r>
      <w:r>
        <w:rPr>
          <w:rFonts w:ascii="Arial" w:cs="Arial" w:eastAsia="Arial" w:hAnsi="Arial"/>
          <w:color w:val="1A2434"/>
          <w:sz w:val="21"/>
          <w:szCs w:val="21"/>
        </w:rPr>
        <w:t xml:space="preserve"> (today they go through VendorBrand by name, which is empty).</w:t>
      </w:r>
    </w:p>
    <w:p>
      <w:pPr>
        <w:pStyle w:val="ListParagraph"/>
        <w:numPr>
          <w:ilvl w:val="0"/>
          <w:numId w:val="2"/>
        </w:numPr>
        <w:spacing w:after="60"/>
      </w:pPr>
      <w:r>
        <w:rPr>
          <w:rFonts w:ascii="Arial" w:cs="Arial" w:eastAsia="Arial" w:hAnsi="Arial"/>
          <w:color w:val="1A2434"/>
          <w:sz w:val="21"/>
          <w:szCs w:val="21"/>
        </w:rPr>
        <w:t xml:space="preserve">Retire </w:t>
      </w:r>
      <w:r>
        <w:rPr>
          <w:rFonts w:ascii="Consolas" w:cs="Consolas" w:eastAsia="Consolas" w:hAnsi="Consolas"/>
          <w:color w:val="334155"/>
          <w:sz w:val="19"/>
          <w:szCs w:val="19"/>
        </w:rPr>
        <w:t xml:space="preserve">dbo.VendorBrand</w:t>
      </w:r>
      <w:r>
        <w:rPr>
          <w:rFonts w:ascii="Arial" w:cs="Arial" w:eastAsia="Arial" w:hAnsi="Arial"/>
          <w:color w:val="1A2434"/>
          <w:sz w:val="21"/>
          <w:szCs w:val="21"/>
        </w:rPr>
        <w:t xml:space="preserve"> from the code (the table stays; nothing is dropped).</w:t>
      </w:r>
    </w:p>
    <w:p>
      <w:pPr>
        <w:pStyle w:val="ListParagraph"/>
        <w:numPr>
          <w:ilvl w:val="0"/>
          <w:numId w:val="2"/>
        </w:numPr>
        <w:spacing w:after="60"/>
      </w:pPr>
      <w:r>
        <w:rPr>
          <w:rFonts w:ascii="Arial" w:cs="Arial" w:eastAsia="Arial" w:hAnsi="Arial"/>
          <w:color w:val="1A2434"/>
          <w:sz w:val="21"/>
          <w:szCs w:val="21"/>
        </w:rPr>
        <w:t xml:space="preserve">Work list on the desk: the 39 brands with no vendor, and ProMaster → vendor 1.</w:t>
      </w:r>
    </w:p>
    <w:p>
      <w:pPr>
        <w:pStyle w:val="Heading2"/>
        <w:spacing w:after="80" w:before="200"/>
      </w:pPr>
      <w:r>
        <w:rPr>
          <w:rFonts w:ascii="Arial" w:cs="Arial" w:eastAsia="Arial" w:hAnsi="Arial"/>
          <w:b/>
          <w:bCs/>
          <w:color w:val="0E7C73"/>
          <w:sz w:val="23"/>
          <w:szCs w:val="23"/>
        </w:rPr>
        <w:t xml:space="preserve">2. Vendor Desk (vendor master)</w:t>
      </w:r>
    </w:p>
    <w:p>
      <w:pPr>
        <w:spacing w:after="120"/>
      </w:pPr>
      <w:r>
        <w:rPr>
          <w:rFonts w:ascii="Arial" w:cs="Arial" w:eastAsia="Arial" w:hAnsi="Arial"/>
          <w:color w:val="1A2434"/>
          <w:sz w:val="21"/>
          <w:szCs w:val="21"/>
        </w:rPr>
        <w:t xml:space="preserve">Keyed on the AP vendor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7"/>
        <w:gridCol w:w="2553"/>
      </w:tblGrid>
      <w:tr>
        <w:trPr>
          <w:tblHeader/>
        </w:trPr>
        <w:tc>
          <w:tcPr>
            <w:tcW w:type="dxa" w:w="6807"/>
            <w:tcBorders>
              <w:top w:val="single" w:color="D9DEE6" w:sz="4"/>
              <w:left w:val="single" w:color="D9DEE6" w:sz="4"/>
              <w:bottom w:val="single" w:color="D9DEE6" w:sz="4"/>
              <w:right w:val="single" w:color="D9DEE6" w:sz="4"/>
            </w:tcBorders>
            <w:shd w:fill="EEF1F5" w:color="auto" w:val="clear"/>
            <w:tcMar>
              <w:top w:type="dxa" w:w="70"/>
              <w:left w:type="dxa" w:w="110"/>
              <w:bottom w:type="dxa" w:w="70"/>
              <w:right w:type="dxa" w:w="110"/>
            </w:tcMar>
          </w:tcPr>
          <w:p>
            <w:r>
              <w:rPr>
                <w:rFonts w:ascii="Arial" w:cs="Arial" w:eastAsia="Arial" w:hAnsi="Arial"/>
                <w:b/>
                <w:bCs/>
                <w:color w:val="1A2434"/>
                <w:sz w:val="18"/>
                <w:szCs w:val="18"/>
              </w:rPr>
              <w:t xml:space="preserve">Field</w:t>
            </w:r>
          </w:p>
        </w:tc>
        <w:tc>
          <w:tcPr>
            <w:tcW w:type="dxa" w:w="2553"/>
            <w:tcBorders>
              <w:top w:val="single" w:color="D9DEE6" w:sz="4"/>
              <w:left w:val="single" w:color="D9DEE6" w:sz="4"/>
              <w:bottom w:val="single" w:color="D9DEE6" w:sz="4"/>
              <w:right w:val="single" w:color="D9DEE6" w:sz="4"/>
            </w:tcBorders>
            <w:shd w:fill="EEF1F5" w:color="auto" w:val="clear"/>
            <w:tcMar>
              <w:top w:type="dxa" w:w="70"/>
              <w:left w:type="dxa" w:w="110"/>
              <w:bottom w:type="dxa" w:w="70"/>
              <w:right w:type="dxa" w:w="110"/>
            </w:tcMar>
          </w:tcPr>
          <w:p>
            <w:r>
              <w:rPr>
                <w:rFonts w:ascii="Arial" w:cs="Arial" w:eastAsia="Arial" w:hAnsi="Arial"/>
                <w:b/>
                <w:bCs/>
                <w:color w:val="1A2434"/>
                <w:sz w:val="18"/>
                <w:szCs w:val="18"/>
              </w:rPr>
              <w:t xml:space="preserve">Owner until AP cuts over</w:t>
            </w:r>
          </w:p>
        </w:tc>
      </w:tr>
      <w:tr>
        <w:trPr>
          <w:tblHeader w:val="off"/>
        </w:trPr>
        <w:tc>
          <w:tcPr>
            <w:tcW w:type="dxa" w:w="6807"/>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Name, addresses (main, payment, rep), phones, emails, dealer number, due days, PCT, surcharge %, surcharge-to-member flag (APMST 29), not-in-use</w:t>
            </w:r>
          </w:p>
        </w:tc>
        <w:tc>
          <w:tcPr>
            <w:tcW w:type="dxa" w:w="2553"/>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Computyme (locked)</w:t>
            </w:r>
          </w:p>
        </w:tc>
      </w:tr>
      <w:tr>
        <w:trPr>
          <w:tblHeader w:val="off"/>
        </w:trPr>
        <w:tc>
          <w:tcPr>
            <w:tcW w:type="dxa" w:w="6807"/>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Currency, structured payment terms, contacts, contracts, price lists, freight/shipping/return policies, brands, notes</w:t>
            </w:r>
          </w:p>
        </w:tc>
        <w:tc>
          <w:tcPr>
            <w:tcW w:type="dxa" w:w="2553"/>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PIV2</w:t>
            </w:r>
          </w:p>
        </w:tc>
      </w:tr>
      <w:tr>
        <w:trPr>
          <w:tblHeader w:val="off"/>
        </w:trPr>
        <w:tc>
          <w:tcPr>
            <w:tcW w:type="dxa" w:w="6807"/>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Direct-billing program (from VNMST): program number, surcharge %, special deduction, admin days, PRO terms</w:t>
            </w:r>
          </w:p>
        </w:tc>
        <w:tc>
          <w:tcPr>
            <w:tcW w:type="dxa" w:w="2553"/>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Computyme (locked) until AR/billing cuts over</w:t>
            </w:r>
          </w:p>
        </w:tc>
      </w:tr>
      <w:tr>
        <w:trPr>
          <w:tblHeader w:val="off"/>
        </w:trPr>
        <w:tc>
          <w:tcPr>
            <w:tcW w:type="dxa" w:w="6807"/>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Direct-billing split: vendor cash discount, what PRO keeps, special deduction, what passes to the member</w:t>
            </w:r>
          </w:p>
        </w:tc>
        <w:tc>
          <w:tcPr>
            <w:tcW w:type="dxa" w:w="2553"/>
            <w:tcBorders>
              <w:top w:val="single" w:color="D9DEE6" w:sz="4"/>
              <w:left w:val="single" w:color="D9DEE6" w:sz="4"/>
              <w:bottom w:val="single" w:color="D9DEE6" w:sz="4"/>
              <w:right w:val="single" w:color="D9DEE6" w:sz="4"/>
            </w:tcBorders>
            <w:tcMar>
              <w:top w:type="dxa" w:w="70"/>
              <w:left w:type="dxa" w:w="110"/>
              <w:bottom w:type="dxa" w:w="70"/>
              <w:right w:type="dxa" w:w="110"/>
            </w:tcMar>
          </w:tcPr>
          <w:p>
            <w:r>
              <w:rPr>
                <w:rFonts w:ascii="Arial" w:cs="Arial" w:eastAsia="Arial" w:hAnsi="Arial"/>
                <w:color w:val="1A2434"/>
                <w:sz w:val="18"/>
                <w:szCs w:val="18"/>
              </w:rPr>
              <w:t xml:space="preserve">PIV2 extension (defined per vendor)</w:t>
            </w:r>
          </w:p>
        </w:tc>
      </w:tr>
    </w:tbl>
    <w:p>
      <w:pPr>
        <w:spacing w:after="60"/>
      </w:pPr>
    </w:p>
    <w:p>
      <w:pPr>
        <w:pStyle w:val="ListParagraph"/>
        <w:numPr>
          <w:ilvl w:val="0"/>
          <w:numId w:val="2"/>
        </w:numPr>
        <w:spacing w:after="60"/>
      </w:pPr>
      <w:r>
        <w:rPr>
          <w:rFonts w:ascii="Arial" w:cs="Arial" w:eastAsia="Arial" w:hAnsi="Arial"/>
          <w:color w:val="1A2434"/>
          <w:sz w:val="21"/>
          <w:szCs w:val="21"/>
        </w:rPr>
        <w:t xml:space="preserve">Terms: APMST due days are free text ("30DAYS", "10TH"; IV46.12, IV45.09). Parse into net days or day-of-month, keep the original text beside it, flag anything that doesn't parse.</w:t>
      </w:r>
    </w:p>
    <w:p>
      <w:pPr>
        <w:pStyle w:val="ListParagraph"/>
        <w:numPr>
          <w:ilvl w:val="0"/>
          <w:numId w:val="2"/>
        </w:numPr>
        <w:spacing w:after="60"/>
      </w:pPr>
      <w:r>
        <w:rPr>
          <w:rFonts w:ascii="Arial" w:cs="Arial" w:eastAsia="Arial" w:hAnsi="Arial"/>
          <w:color w:val="1A2434"/>
          <w:sz w:val="21"/>
          <w:szCs w:val="21"/>
        </w:rPr>
        <w:t xml:space="preserve">Currency is per vendor and replaces the "Y" suffix on costs (D_IVMST.02–.04). Rates come from the Product Desk exchange-rate table (pulled by button, accepted before use, overrides audited).</w:t>
      </w:r>
    </w:p>
    <w:p>
      <w:pPr>
        <w:pStyle w:val="ListParagraph"/>
        <w:numPr>
          <w:ilvl w:val="0"/>
          <w:numId w:val="2"/>
        </w:numPr>
        <w:spacing w:after="60"/>
      </w:pPr>
      <w:r>
        <w:rPr>
          <w:rFonts w:ascii="Arial" w:cs="Arial" w:eastAsia="Arial" w:hAnsi="Arial"/>
          <w:color w:val="1A2434"/>
          <w:sz w:val="21"/>
          <w:szCs w:val="21"/>
        </w:rPr>
        <w:t xml:space="preserve">Vendor returns get real statuses (requested → RA issued → shipped → credited) with serials and credit amount, instead of VENDRA's free-form screens (VEND.RA.HOLD.05, VEND.ENT.SHIP.04, UPD.VENDRA.07). Built after POs.</w:t>
      </w:r>
    </w:p>
    <w:p>
      <w:pPr>
        <w:pStyle w:val="ListParagraph"/>
        <w:numPr>
          <w:ilvl w:val="0"/>
          <w:numId w:val="2"/>
        </w:numPr>
        <w:spacing w:after="60"/>
      </w:pPr>
      <w:r>
        <w:rPr>
          <w:rFonts w:ascii="Arial" w:cs="Arial" w:eastAsia="Arial" w:hAnsi="Arial"/>
          <w:color w:val="1A2434"/>
          <w:sz w:val="21"/>
          <w:szCs w:val="21"/>
        </w:rPr>
        <w:t xml:space="preserve">New vendors: created in PIV2 below 9000 as today. While AP is still in Computyme, a new vendor also has to exist in APMST; see decision 3.</w:t>
      </w:r>
    </w:p>
    <w:p>
      <w:pPr>
        <w:pStyle w:val="Heading2"/>
        <w:spacing w:after="80" w:before="200"/>
      </w:pPr>
      <w:r>
        <w:rPr>
          <w:rFonts w:ascii="Arial" w:cs="Arial" w:eastAsia="Arial" w:hAnsi="Arial"/>
          <w:b/>
          <w:bCs/>
          <w:color w:val="0E7C73"/>
          <w:sz w:val="23"/>
          <w:szCs w:val="23"/>
        </w:rPr>
        <w:t xml:space="preserve">3. Product class (was "vendor group")</w:t>
      </w:r>
    </w:p>
    <w:p>
      <w:pPr>
        <w:spacing w:after="120"/>
      </w:pPr>
      <w:r>
        <w:rPr>
          <w:rFonts w:ascii="Consolas" w:cs="Consolas" w:eastAsia="Consolas" w:hAnsi="Consolas"/>
          <w:color w:val="334155"/>
          <w:sz w:val="19"/>
          <w:szCs w:val="19"/>
        </w:rPr>
        <w:t xml:space="preserve">piv2.ProductClass</w:t>
      </w:r>
      <w:r>
        <w:rPr>
          <w:rFonts w:ascii="Arial" w:cs="Arial" w:eastAsia="Arial" w:hAnsi="Arial"/>
          <w:color w:val="1A2434"/>
          <w:sz w:val="21"/>
          <w:szCs w:val="21"/>
        </w:rPr>
        <w:t xml:space="preserve"> (479, 497, 500, 600, 700, 900, 992, 999) holding what is hard-coded today:</w:t>
      </w:r>
    </w:p>
    <w:p>
      <w:pPr>
        <w:spacing w:after="120"/>
      </w:pPr>
      <w:r>
        <w:rPr>
          <w:rFonts w:ascii="Arial" w:cs="Arial" w:eastAsia="Arial" w:hAnsi="Arial"/>
          <w:color w:val="1A2434"/>
          <w:sz w:val="21"/>
          <w:szCs w:val="21"/>
        </w:rPr>
        <w:t xml:space="preserve">net-net factors, terms %, prompt-pay %, fast shipping allowed, dated orders, returns-credit rules (D_IVMST.20–.31; the 479 test in </w:t>
      </w:r>
      <w:r>
        <w:rPr>
          <w:rFonts w:ascii="Consolas" w:cs="Consolas" w:eastAsia="Consolas" w:hAnsi="Consolas"/>
          <w:color w:val="334155"/>
          <w:sz w:val="19"/>
          <w:szCs w:val="19"/>
        </w:rPr>
        <w:t xml:space="preserve">dbo.Product</w:t>
      </w:r>
      <w:r>
        <w:rPr>
          <w:rFonts w:ascii="Arial" w:cs="Arial" w:eastAsia="Arial" w:hAnsi="Arial"/>
          <w:color w:val="1A2434"/>
          <w:sz w:val="21"/>
          <w:szCs w:val="21"/>
        </w:rPr>
        <w:t xml:space="preserve">).</w:t>
      </w:r>
    </w:p>
    <w:p>
      <w:pPr>
        <w:pStyle w:val="ListParagraph"/>
        <w:numPr>
          <w:ilvl w:val="0"/>
          <w:numId w:val="2"/>
        </w:numPr>
        <w:spacing w:after="60"/>
      </w:pPr>
      <w:r>
        <w:rPr>
          <w:rFonts w:ascii="Arial" w:cs="Arial" w:eastAsia="Arial" w:hAnsi="Arial"/>
          <w:color w:val="1A2434"/>
          <w:sz w:val="21"/>
          <w:szCs w:val="21"/>
        </w:rPr>
        <w:t xml:space="preserve">The product page shows </w:t>
      </w:r>
      <w:r>
        <w:rPr>
          <w:rFonts w:ascii="Arial" w:cs="Arial" w:eastAsia="Arial" w:hAnsi="Arial"/>
          <w:b/>
          <w:bCs/>
          <w:color w:val="1A2434"/>
          <w:sz w:val="21"/>
          <w:szCs w:val="21"/>
        </w:rPr>
        <w:t xml:space="preserve">Class</w:t>
      </w:r>
      <w:r>
        <w:rPr>
          <w:rFonts w:ascii="Arial" w:cs="Arial" w:eastAsia="Arial" w:hAnsi="Arial"/>
          <w:color w:val="1A2434"/>
          <w:sz w:val="21"/>
          <w:szCs w:val="21"/>
        </w:rPr>
        <w:t xml:space="preserve"> and </w:t>
      </w:r>
      <w:r>
        <w:rPr>
          <w:rFonts w:ascii="Arial" w:cs="Arial" w:eastAsia="Arial" w:hAnsi="Arial"/>
          <w:b/>
          <w:bCs/>
          <w:color w:val="1A2434"/>
          <w:sz w:val="21"/>
          <w:szCs w:val="21"/>
        </w:rPr>
        <w:t xml:space="preserve">Vendor</w:t>
      </w:r>
      <w:r>
        <w:rPr>
          <w:rFonts w:ascii="Arial" w:cs="Arial" w:eastAsia="Arial" w:hAnsi="Arial"/>
          <w:color w:val="1A2434"/>
          <w:sz w:val="21"/>
          <w:szCs w:val="21"/>
        </w:rPr>
        <w:t xml:space="preserve"> (the real one) separately. Class stays locked until product maintenance cuts over (IVMST 5 is still edited in Computyme, and changing it moves open vendor orders: IV.MNT.PROD.23, CHANGE.VNORD).</w:t>
      </w:r>
    </w:p>
    <w:p>
      <w:pPr>
        <w:pStyle w:val="Heading2"/>
        <w:spacing w:after="80" w:before="200"/>
      </w:pPr>
      <w:r>
        <w:rPr>
          <w:rFonts w:ascii="Arial" w:cs="Arial" w:eastAsia="Arial" w:hAnsi="Arial"/>
          <w:b/>
          <w:bCs/>
          <w:color w:val="0E7C73"/>
          <w:sz w:val="23"/>
          <w:szCs w:val="23"/>
        </w:rPr>
        <w:t xml:space="preserve">4. PO build on the product page</w:t>
      </w:r>
    </w:p>
    <w:p>
      <w:pPr>
        <w:spacing w:after="120"/>
      </w:pPr>
      <w:r>
        <w:rPr>
          <w:rFonts w:ascii="Arial" w:cs="Arial" w:eastAsia="Arial" w:hAnsi="Arial"/>
          <w:b/>
          <w:bCs/>
          <w:color w:val="1A2434"/>
          <w:sz w:val="21"/>
          <w:szCs w:val="21"/>
        </w:rPr>
        <w:t xml:space="preserve">Not cut over yet.</w:t>
      </w:r>
      <w:r>
        <w:rPr>
          <w:rFonts w:ascii="Arial" w:cs="Arial" w:eastAsia="Arial" w:hAnsi="Arial"/>
          <w:color w:val="1A2434"/>
          <w:sz w:val="21"/>
          <w:szCs w:val="21"/>
        </w:rPr>
        <w:t xml:space="preserve"> First step is display only: the product's Order section shows Computyme's open POs (IVPO from the EDA mirror), on-order, due date, and the suggested order with Computyme's rule highlighted and its inputs shown, so a buyer can adjust the inputs and see the forecast and market research beside it. Building and sending POs from PIV2 (below) comes when you decide to cut POs over.</w:t>
      </w:r>
    </w:p>
    <w:p>
      <w:pPr>
        <w:spacing w:after="120"/>
      </w:pPr>
      <w:r>
        <w:rPr>
          <w:rFonts w:ascii="Arial" w:cs="Arial" w:eastAsia="Arial" w:hAnsi="Arial"/>
          <w:color w:val="1A2434"/>
          <w:sz w:val="21"/>
          <w:szCs w:val="21"/>
        </w:rPr>
        <w:t xml:space="preserve">Tables: </w:t>
      </w:r>
      <w:r>
        <w:rPr>
          <w:rFonts w:ascii="Consolas" w:cs="Consolas" w:eastAsia="Consolas" w:hAnsi="Consolas"/>
          <w:color w:val="334155"/>
          <w:sz w:val="19"/>
          <w:szCs w:val="19"/>
        </w:rPr>
        <w:t xml:space="preserve">piv2.PurchaseOrder</w:t>
      </w:r>
      <w:r>
        <w:rPr>
          <w:rFonts w:ascii="Arial" w:cs="Arial" w:eastAsia="Arial" w:hAnsi="Arial"/>
          <w:color w:val="1A2434"/>
          <w:sz w:val="21"/>
          <w:szCs w:val="21"/>
        </w:rPr>
        <w:t xml:space="preserve"> (number, vendor = AP vendor only, status Draft / Sent / Partly received / Closed / Cancelled, currency, rate, terms, ship-to, one-time vendor details as structured fields, who/when) and </w:t>
      </w:r>
      <w:r>
        <w:rPr>
          <w:rFonts w:ascii="Consolas" w:cs="Consolas" w:eastAsia="Consolas" w:hAnsi="Consolas"/>
          <w:color w:val="334155"/>
          <w:sz w:val="19"/>
          <w:szCs w:val="19"/>
        </w:rPr>
        <w:t xml:space="preserve">piv2.PurchaseOrderLine</w:t>
      </w:r>
      <w:r>
        <w:rPr>
          <w:rFonts w:ascii="Arial" w:cs="Arial" w:eastAsia="Arial" w:hAnsi="Arial"/>
          <w:color w:val="1A2434"/>
          <w:sz w:val="21"/>
          <w:szCs w:val="21"/>
        </w:rPr>
        <w:t xml:space="preserve"> (product, qty, unit cost and currency, due date, special-order link). On-order is computed from open lines, never stored on the product (the double storage is why PO.DISC, FIX.PO.CST and BLD.IVPO exist: IV.ORD.REC.15, PO.DISC.01–07).</w:t>
      </w:r>
    </w:p>
    <w:p>
      <w:pPr>
        <w:spacing w:after="120"/>
      </w:pPr>
      <w:r>
        <w:rPr>
          <w:rFonts w:ascii="Arial" w:cs="Arial" w:eastAsia="Arial" w:hAnsi="Arial"/>
          <w:b/>
          <w:bCs/>
          <w:color w:val="1A2434"/>
          <w:sz w:val="21"/>
          <w:szCs w:val="21"/>
        </w:rPr>
        <w:t xml:space="preserve">Suggest.</w:t>
      </w:r>
      <w:r>
        <w:rPr>
          <w:rFonts w:ascii="Arial" w:cs="Arial" w:eastAsia="Arial" w:hAnsi="Arial"/>
          <w:color w:val="1A2434"/>
          <w:sz w:val="21"/>
          <w:szCs w:val="21"/>
        </w:rPr>
        <w:t xml:space="preserve"> One formula with its inputs as settings, shown on the product's Order section and as a per-vendor draft:</w:t>
      </w:r>
    </w:p>
    <w:p>
      <w:pPr>
        <w:pStyle w:val="ListParagraph"/>
        <w:numPr>
          <w:ilvl w:val="0"/>
          <w:numId w:val="2"/>
        </w:numPr>
        <w:spacing w:after="60"/>
      </w:pPr>
      <w:r>
        <w:rPr>
          <w:rFonts w:ascii="Arial" w:cs="Arial" w:eastAsia="Arial" w:hAnsi="Arial"/>
          <w:color w:val="1A2434"/>
          <w:sz w:val="21"/>
          <w:szCs w:val="21"/>
        </w:rPr>
        <w:t xml:space="preserve">demand from shipped history (YTD-ship, prior year, or the PIV2 forecast) over months of supply;</w:t>
      </w:r>
    </w:p>
    <w:p>
      <w:pPr>
        <w:pStyle w:val="ListParagraph"/>
        <w:numPr>
          <w:ilvl w:val="0"/>
          <w:numId w:val="2"/>
        </w:numPr>
        <w:spacing w:after="60"/>
      </w:pPr>
      <w:r>
        <w:rPr>
          <w:rFonts w:ascii="Arial" w:cs="Arial" w:eastAsia="Arial" w:hAnsi="Arial"/>
          <w:color w:val="1A2434"/>
          <w:sz w:val="21"/>
          <w:szCs w:val="21"/>
        </w:rPr>
        <w:t xml:space="preserve">minus stock, minus on-order </w:t>
      </w:r>
      <w:r>
        <w:rPr>
          <w:rFonts w:ascii="Arial" w:cs="Arial" w:eastAsia="Arial" w:hAnsi="Arial"/>
          <w:b/>
          <w:bCs/>
          <w:color w:val="1A2434"/>
          <w:sz w:val="21"/>
          <w:szCs w:val="21"/>
        </w:rPr>
        <w:t xml:space="preserve">including partly received balances</w:t>
      </w:r>
      <w:r>
        <w:rPr>
          <w:rFonts w:ascii="Arial" w:cs="Arial" w:eastAsia="Arial" w:hAnsi="Arial"/>
          <w:color w:val="1A2434"/>
          <w:sz w:val="21"/>
          <w:szCs w:val="21"/>
        </w:rPr>
        <w:t xml:space="preserve"> (every Computyme version forgets IVMST 23: IV21.07, DH1.10, IV19.04);</w:t>
      </w:r>
    </w:p>
    <w:p>
      <w:pPr>
        <w:pStyle w:val="ListParagraph"/>
        <w:numPr>
          <w:ilvl w:val="0"/>
          <w:numId w:val="2"/>
        </w:numPr>
        <w:spacing w:after="60"/>
      </w:pPr>
      <w:r>
        <w:rPr>
          <w:rFonts w:ascii="Arial" w:cs="Arial" w:eastAsia="Arial" w:hAnsi="Arial"/>
          <w:color w:val="1A2434"/>
          <w:sz w:val="21"/>
          <w:szCs w:val="21"/>
        </w:rPr>
        <w:t xml:space="preserve">rounded up to case / carton / MOQ from the product (Computyme never uses them: IV21.12–.15, DH1.11);</w:t>
      </w:r>
    </w:p>
    <w:p>
      <w:pPr>
        <w:pStyle w:val="ListParagraph"/>
        <w:numPr>
          <w:ilvl w:val="0"/>
          <w:numId w:val="2"/>
        </w:numPr>
        <w:spacing w:after="60"/>
      </w:pPr>
      <w:r>
        <w:rPr>
          <w:rFonts w:ascii="Arial" w:cs="Arial" w:eastAsia="Arial" w:hAnsi="Arial"/>
          <w:color w:val="1A2434"/>
          <w:sz w:val="21"/>
          <w:szCs w:val="21"/>
        </w:rPr>
        <w:t xml:space="preserve">grouped by real vendor (</w:t>
      </w:r>
      <w:r>
        <w:rPr>
          <w:rFonts w:ascii="Consolas" w:cs="Consolas" w:eastAsia="Consolas" w:hAnsi="Consolas"/>
          <w:color w:val="334155"/>
          <w:sz w:val="19"/>
          <w:szCs w:val="19"/>
        </w:rPr>
        <w:t xml:space="preserve">A.VENDOR</w:t>
      </w:r>
      <w:r>
        <w:rPr>
          <w:rFonts w:ascii="Arial" w:cs="Arial" w:eastAsia="Arial" w:hAnsi="Arial"/>
          <w:color w:val="1A2434"/>
          <w:sz w:val="21"/>
          <w:szCs w:val="21"/>
        </w:rPr>
        <w:t xml:space="preserve">), one draft PO per vendor (Computyme puts the whole ORDER file on one PO: IV.ORD.REC.09, IV.AUTO.ORDER.03).</w:t>
      </w:r>
    </w:p>
    <w:p>
      <w:pPr>
        <w:spacing w:after="120"/>
      </w:pPr>
      <w:r>
        <w:rPr>
          <w:rFonts w:ascii="Arial" w:cs="Arial" w:eastAsia="Arial" w:hAnsi="Arial"/>
          <w:b/>
          <w:bCs/>
          <w:color w:val="1A2434"/>
          <w:sz w:val="21"/>
          <w:szCs w:val="21"/>
        </w:rPr>
        <w:t xml:space="preserve">Enter.</w:t>
      </w:r>
      <w:r>
        <w:rPr>
          <w:rFonts w:ascii="Arial" w:cs="Arial" w:eastAsia="Arial" w:hAnsi="Arial"/>
          <w:color w:val="1A2434"/>
          <w:sz w:val="21"/>
          <w:szCs w:val="21"/>
        </w:rPr>
        <w:t xml:space="preserve"> Cost defaults to raw cost per unit in the vendor's currency; changing it on a PO doesn't change the product's raw cost (IV46.PROD.22 offers to overwrite it, with no audit). Money is entered in dollars, never "12 = 12 cents". A product whose vendor differs from the PO's vendor is blocked, not warned (IV46.PROD.10). Special orders link to a member order instead of placeholder product 555.</w:t>
      </w:r>
    </w:p>
    <w:p>
      <w:pPr>
        <w:spacing w:after="120"/>
      </w:pPr>
      <w:r>
        <w:rPr>
          <w:rFonts w:ascii="Arial" w:cs="Arial" w:eastAsia="Arial" w:hAnsi="Arial"/>
          <w:b/>
          <w:bCs/>
          <w:color w:val="1A2434"/>
          <w:sz w:val="21"/>
          <w:szCs w:val="21"/>
        </w:rPr>
        <w:t xml:space="preserve">Due dates.</w:t>
      </w:r>
      <w:r>
        <w:rPr>
          <w:rFonts w:ascii="Arial" w:cs="Arial" w:eastAsia="Arial" w:hAnsi="Arial"/>
          <w:color w:val="1A2434"/>
          <w:sz w:val="21"/>
          <w:szCs w:val="21"/>
        </w:rPr>
        <w:t xml:space="preserve"> Per PO line (ORDDUE is one date per product with no PO link and deletes itself on the day: ORDUP1.02, WHSE.DUE.05). The product's "stock due" becomes the earliest open line date, and late lines show as late.</w:t>
      </w:r>
    </w:p>
    <w:p>
      <w:pPr>
        <w:spacing w:after="120"/>
      </w:pPr>
      <w:r>
        <w:rPr>
          <w:rFonts w:ascii="Arial" w:cs="Arial" w:eastAsia="Arial" w:hAnsi="Arial"/>
          <w:b/>
          <w:bCs/>
          <w:color w:val="1A2434"/>
          <w:sz w:val="21"/>
          <w:szCs w:val="21"/>
        </w:rPr>
        <w:t xml:space="preserve">Side by side.</w:t>
      </w:r>
      <w:r>
        <w:rPr>
          <w:rFonts w:ascii="Arial" w:cs="Arial" w:eastAsia="Arial" w:hAnsi="Arial"/>
          <w:color w:val="1A2434"/>
          <w:sz w:val="21"/>
          <w:szCs w:val="21"/>
        </w:rPr>
        <w:t xml:space="preserve"> On-order and due dates on the product = PIV2 open lines + Computyme open POs from the EDA mirror (IVPO + its MV tables), by PO number. A PO sent from PIV2 goes to Computyme through the outbox so receiving keeps working there.</w:t>
      </w:r>
    </w:p>
    <w:p>
      <w:pPr>
        <w:pStyle w:val="Heading2"/>
        <w:spacing w:after="80" w:before="200"/>
      </w:pPr>
      <w:r>
        <w:rPr>
          <w:rFonts w:ascii="Arial" w:cs="Arial" w:eastAsia="Arial" w:hAnsi="Arial"/>
          <w:b/>
          <w:bCs/>
          <w:color w:val="0E7C73"/>
          <w:sz w:val="23"/>
          <w:szCs w:val="23"/>
        </w:rPr>
        <w:t xml:space="preserve">5. Receiving (later)</w:t>
      </w:r>
    </w:p>
    <w:p>
      <w:pPr>
        <w:spacing w:after="120"/>
      </w:pPr>
      <w:r>
        <w:rPr>
          <w:rFonts w:ascii="Arial" w:cs="Arial" w:eastAsia="Arial" w:hAnsi="Arial"/>
          <w:color w:val="1A2434"/>
          <w:sz w:val="21"/>
          <w:szCs w:val="21"/>
        </w:rPr>
        <w:t xml:space="preserve">Replace IV.ORD.REC(.N): receipts table with qty, date, landed-cost %, exchange rate and customs entry stored per receipt (today the landed % and rate are typed per session and lost: IV.ORD.REC.22–.27); line-level close (not netted across lines: IV.ORD.REC.20); a transaction around each receipt (IV.ORD.REC.32). Cost layers and COGS restatement (IV.ORD.REC.28–.31, IV.UPD.COGS) come with it. Backorder release (IV11.AUTO) needs its own fix list before it moves.</w:t>
      </w:r>
    </w:p>
    <w:p>
      <w:pPr>
        <w:pStyle w:val="Heading2"/>
        <w:spacing w:after="80" w:before="200"/>
      </w:pPr>
      <w:r>
        <w:rPr>
          <w:rFonts w:ascii="Arial" w:cs="Arial" w:eastAsia="Arial" w:hAnsi="Arial"/>
          <w:b/>
          <w:bCs/>
          <w:color w:val="0E7C73"/>
          <w:sz w:val="23"/>
          <w:szCs w:val="23"/>
        </w:rPr>
        <w:t xml:space="preserve">6. AP (last)</w:t>
      </w:r>
    </w:p>
    <w:p>
      <w:pPr>
        <w:spacing w:after="120"/>
      </w:pPr>
      <w:r>
        <w:rPr>
          <w:rFonts w:ascii="Arial" w:cs="Arial" w:eastAsia="Arial" w:hAnsi="Arial"/>
          <w:color w:val="1A2434"/>
          <w:sz w:val="21"/>
          <w:szCs w:val="21"/>
        </w:rPr>
        <w:t xml:space="preserve">Payments, the 2% special discount (AP.SEL.INVSPC) and its reversal (AP10) stay in Computyme until then.</w:t>
      </w:r>
    </w:p>
    <w:p>
      <w:pPr>
        <w:pStyle w:val="Heading1"/>
        <w:spacing w:after="120" w:before="280"/>
      </w:pPr>
      <w:r>
        <w:rPr>
          <w:rFonts w:ascii="Arial" w:cs="Arial" w:eastAsia="Arial" w:hAnsi="Arial"/>
          <w:b/>
          <w:bCs/>
          <w:color w:val="1A2434"/>
          <w:sz w:val="28"/>
          <w:szCs w:val="28"/>
        </w:rPr>
        <w:t xml:space="preserve">Bugs we don't carry over</w:t>
      </w:r>
    </w:p>
    <w:p>
      <w:pPr>
        <w:pStyle w:val="ListParagraph"/>
        <w:numPr>
          <w:ilvl w:val="0"/>
          <w:numId w:val="2"/>
        </w:numPr>
        <w:spacing w:after="60"/>
      </w:pPr>
      <w:r>
        <w:rPr>
          <w:rFonts w:ascii="Arial" w:cs="Arial" w:eastAsia="Arial" w:hAnsi="Arial"/>
          <w:color w:val="1A2434"/>
          <w:sz w:val="21"/>
          <w:szCs w:val="21"/>
        </w:rPr>
        <w:t xml:space="preserve">Surcharge ×10 on every visit to the product screen (IV.MNT.PROD.16, bug 4).</w:t>
      </w:r>
    </w:p>
    <w:p>
      <w:pPr>
        <w:pStyle w:val="ListParagraph"/>
        <w:numPr>
          <w:ilvl w:val="0"/>
          <w:numId w:val="2"/>
        </w:numPr>
        <w:spacing w:after="60"/>
      </w:pPr>
      <w:r>
        <w:rPr>
          <w:rFonts w:ascii="Arial" w:cs="Arial" w:eastAsia="Arial" w:hAnsi="Arial"/>
          <w:color w:val="1A2434"/>
          <w:sz w:val="21"/>
          <w:szCs w:val="21"/>
        </w:rPr>
        <w:t xml:space="preserve">"25" typed as a price stored as $0.25 (IV.MNT.PROD.14, IV46.PROD.21).</w:t>
      </w:r>
    </w:p>
    <w:p>
      <w:pPr>
        <w:pStyle w:val="ListParagraph"/>
        <w:numPr>
          <w:ilvl w:val="0"/>
          <w:numId w:val="2"/>
        </w:numPr>
        <w:spacing w:after="60"/>
      </w:pPr>
      <w:r>
        <w:rPr>
          <w:rFonts w:ascii="Arial" w:cs="Arial" w:eastAsia="Arial" w:hAnsi="Arial"/>
          <w:color w:val="1A2434"/>
          <w:sz w:val="21"/>
          <w:szCs w:val="21"/>
        </w:rPr>
        <w:t xml:space="preserve">Product's real vendor accepts anything since 2003 (IV.MNT.PROD.12).</w:t>
      </w:r>
    </w:p>
    <w:p>
      <w:pPr>
        <w:pStyle w:val="ListParagraph"/>
        <w:numPr>
          <w:ilvl w:val="0"/>
          <w:numId w:val="2"/>
        </w:numPr>
        <w:spacing w:after="60"/>
      </w:pPr>
      <w:r>
        <w:rPr>
          <w:rFonts w:ascii="Arial" w:cs="Arial" w:eastAsia="Arial" w:hAnsi="Arial"/>
          <w:color w:val="1A2434"/>
          <w:sz w:val="21"/>
          <w:szCs w:val="21"/>
        </w:rPr>
        <w:t xml:space="preserve">New POs with a blank vendor (IV.AUTO.ORDER.03).</w:t>
      </w:r>
    </w:p>
    <w:p>
      <w:pPr>
        <w:pStyle w:val="ListParagraph"/>
        <w:numPr>
          <w:ilvl w:val="0"/>
          <w:numId w:val="2"/>
        </w:numPr>
        <w:spacing w:after="60"/>
      </w:pPr>
      <w:r>
        <w:rPr>
          <w:rFonts w:ascii="Arial" w:cs="Arial" w:eastAsia="Arial" w:hAnsi="Arial"/>
          <w:color w:val="1A2434"/>
          <w:sz w:val="21"/>
          <w:szCs w:val="21"/>
        </w:rPr>
        <w:t xml:space="preserve">Yen and dollars added into one total (IV46.PROD.23).</w:t>
      </w:r>
    </w:p>
    <w:p>
      <w:pPr>
        <w:pStyle w:val="ListParagraph"/>
        <w:numPr>
          <w:ilvl w:val="0"/>
          <w:numId w:val="2"/>
        </w:numPr>
        <w:spacing w:after="60"/>
      </w:pPr>
      <w:r>
        <w:rPr>
          <w:rFonts w:ascii="Arial" w:cs="Arial" w:eastAsia="Arial" w:hAnsi="Arial"/>
          <w:color w:val="1A2434"/>
          <w:sz w:val="21"/>
          <w:szCs w:val="21"/>
        </w:rPr>
        <w:t xml:space="preserve">CHANGE.VNORD can overwrite the vendor on every order-number record when nothing matches (CHANGE.VNORD.03/.04). Check it before anyone runs it again.</w:t>
      </w:r>
    </w:p>
    <w:p>
      <w:pPr>
        <w:pStyle w:val="Heading1"/>
        <w:spacing w:after="120" w:before="280"/>
      </w:pPr>
      <w:r>
        <w:rPr>
          <w:rFonts w:ascii="Arial" w:cs="Arial" w:eastAsia="Arial" w:hAnsi="Arial"/>
          <w:b/>
          <w:bCs/>
          <w:color w:val="1A2434"/>
          <w:sz w:val="28"/>
          <w:szCs w:val="28"/>
        </w:rPr>
        <w:t xml:space="preserve">Decided</w:t>
      </w:r>
    </w:p>
    <w:p>
      <w:pPr>
        <w:pStyle w:val="ListParagraph"/>
        <w:numPr>
          <w:ilvl w:val="0"/>
          <w:numId w:val="2"/>
        </w:numPr>
        <w:spacing w:after="60"/>
      </w:pPr>
      <w:r>
        <w:rPr>
          <w:rFonts w:ascii="Arial" w:cs="Arial" w:eastAsia="Arial" w:hAnsi="Arial"/>
          <w:b/>
          <w:bCs/>
          <w:color w:val="1A2434"/>
          <w:sz w:val="21"/>
          <w:szCs w:val="21"/>
        </w:rPr>
        <w:t xml:space="preserve">Suggested quantity:</w:t>
      </w:r>
      <w:r>
        <w:rPr>
          <w:rFonts w:ascii="Arial" w:cs="Arial" w:eastAsia="Arial" w:hAnsi="Arial"/>
          <w:color w:val="1A2434"/>
          <w:sz w:val="21"/>
          <w:szCs w:val="21"/>
        </w:rPr>
        <w:t xml:space="preserve"> show Computyme's rule highlighted with its inputs, let the buyer change the inputs or the quantity, and put the forecast and market research beside it.</w:t>
      </w:r>
    </w:p>
    <w:p>
      <w:pPr>
        <w:pStyle w:val="ListParagraph"/>
        <w:numPr>
          <w:ilvl w:val="0"/>
          <w:numId w:val="2"/>
        </w:numPr>
        <w:spacing w:after="60"/>
      </w:pPr>
      <w:r>
        <w:rPr>
          <w:rFonts w:ascii="Arial" w:cs="Arial" w:eastAsia="Arial" w:hAnsi="Arial"/>
          <w:b/>
          <w:bCs/>
          <w:color w:val="1A2434"/>
          <w:sz w:val="21"/>
          <w:szCs w:val="21"/>
        </w:rPr>
        <w:t xml:space="preserve">PO numbers:</w:t>
      </w:r>
      <w:r>
        <w:rPr>
          <w:rFonts w:ascii="Arial" w:cs="Arial" w:eastAsia="Arial" w:hAnsi="Arial"/>
          <w:color w:val="1A2434"/>
          <w:sz w:val="21"/>
          <w:szCs w:val="21"/>
        </w:rPr>
        <w:t xml:space="preserve"> PIV2 will issue from its own block when POs cut over. Nothing is renumbered: old Computyme POs keep their numbers, and on cutover day Computyme stops issuing.</w:t>
      </w:r>
    </w:p>
    <w:p>
      <w:pPr>
        <w:pStyle w:val="ListParagraph"/>
        <w:numPr>
          <w:ilvl w:val="0"/>
          <w:numId w:val="2"/>
        </w:numPr>
        <w:spacing w:after="60"/>
      </w:pPr>
      <w:r>
        <w:rPr>
          <w:rFonts w:ascii="Arial" w:cs="Arial" w:eastAsia="Arial" w:hAnsi="Arial"/>
          <w:b/>
          <w:bCs/>
          <w:color w:val="1A2434"/>
          <w:sz w:val="21"/>
          <w:szCs w:val="21"/>
        </w:rPr>
        <w:t xml:space="preserve">POs are not cut over yet.</w:t>
      </w:r>
      <w:r>
        <w:rPr>
          <w:rFonts w:ascii="Arial" w:cs="Arial" w:eastAsia="Arial" w:hAnsi="Arial"/>
          <w:color w:val="1A2434"/>
          <w:sz w:val="21"/>
          <w:szCs w:val="21"/>
        </w:rPr>
        <w:t xml:space="preserve"> PIV2 shows Computyme's POs and the suggested order only.</w:t>
      </w:r>
    </w:p>
    <w:p>
      <w:pPr>
        <w:pStyle w:val="ListParagraph"/>
        <w:numPr>
          <w:ilvl w:val="0"/>
          <w:numId w:val="2"/>
        </w:numPr>
        <w:spacing w:after="60"/>
      </w:pPr>
      <w:r>
        <w:rPr>
          <w:rFonts w:ascii="Arial" w:cs="Arial" w:eastAsia="Arial" w:hAnsi="Arial"/>
          <w:b/>
          <w:bCs/>
          <w:color w:val="1A2434"/>
          <w:sz w:val="21"/>
          <w:szCs w:val="21"/>
        </w:rPr>
        <w:t xml:space="preserve">Direct billing:</w:t>
      </w:r>
      <w:r>
        <w:rPr>
          <w:rFonts w:ascii="Arial" w:cs="Arial" w:eastAsia="Arial" w:hAnsi="Arial"/>
          <w:color w:val="1A2434"/>
          <w:sz w:val="21"/>
          <w:szCs w:val="21"/>
        </w:rPr>
        <w:t xml:space="preserve"> the split (what PRO keeps, what cash discount passes on) is defined at the vendor level in PIV2.</w:t>
      </w:r>
    </w:p>
    <w:p>
      <w:pPr>
        <w:pStyle w:val="Heading1"/>
        <w:spacing w:after="120" w:before="280"/>
      </w:pPr>
      <w:r>
        <w:rPr>
          <w:rFonts w:ascii="Arial" w:cs="Arial" w:eastAsia="Arial" w:hAnsi="Arial"/>
          <w:b/>
          <w:bCs/>
          <w:color w:val="1A2434"/>
          <w:sz w:val="28"/>
          <w:szCs w:val="28"/>
        </w:rPr>
        <w:t xml:space="preserve">Decisions still open</w:t>
      </w:r>
    </w:p>
    <w:p>
      <w:pPr>
        <w:pStyle w:val="ListParagraph"/>
        <w:numPr>
          <w:ilvl w:val="0"/>
          <w:numId w:val="3"/>
        </w:numPr>
        <w:spacing w:after="60"/>
      </w:pPr>
      <w:r>
        <w:rPr>
          <w:rFonts w:ascii="Arial" w:cs="Arial" w:eastAsia="Arial" w:hAnsi="Arial"/>
          <w:b/>
          <w:bCs/>
          <w:color w:val="1A2434"/>
          <w:sz w:val="21"/>
          <w:szCs w:val="21"/>
        </w:rPr>
        <w:t xml:space="preserve">Which suggested-quantity rule to show first:</w:t>
      </w:r>
      <w:r>
        <w:rPr>
          <w:rFonts w:ascii="Arial" w:cs="Arial" w:eastAsia="Arial" w:hAnsi="Arial"/>
          <w:color w:val="1A2434"/>
          <w:sz w:val="21"/>
          <w:szCs w:val="21"/>
        </w:rPr>
        <w:t xml:space="preserve"> IV21 (last year's remaining months, growth capped at 2×), DH1 (last year, uncapped) or the dictionary's MIN.STK (YTD/10 × months of supply). Nothing in BP calls IV21 or DH1. Default: MIN.STK with on-order fixed and case rounding.</w:t>
      </w:r>
    </w:p>
    <w:p>
      <w:pPr>
        <w:pStyle w:val="ListParagraph"/>
        <w:numPr>
          <w:ilvl w:val="0"/>
          <w:numId w:val="3"/>
        </w:numPr>
        <w:spacing w:after="60"/>
      </w:pPr>
      <w:r>
        <w:rPr>
          <w:rFonts w:ascii="Arial" w:cs="Arial" w:eastAsia="Arial" w:hAnsi="Arial"/>
          <w:b/>
          <w:bCs/>
          <w:color w:val="1A2434"/>
          <w:sz w:val="21"/>
          <w:szCs w:val="21"/>
        </w:rPr>
        <w:t xml:space="preserve">Is the direct-billing program still running?</w:t>
      </w:r>
      <w:r>
        <w:rPr>
          <w:rFonts w:ascii="Arial" w:cs="Arial" w:eastAsia="Arial" w:hAnsi="Arial"/>
          <w:color w:val="1A2434"/>
          <w:sz w:val="21"/>
          <w:szCs w:val="21"/>
        </w:rPr>
        <w:t xml:space="preserve"> VNMST has ~46 program vendors but VENDORD holds only 160 records.</w:t>
      </w:r>
    </w:p>
    <w:p>
      <w:pPr>
        <w:pStyle w:val="ListParagraph"/>
        <w:numPr>
          <w:ilvl w:val="0"/>
          <w:numId w:val="3"/>
        </w:numPr>
        <w:spacing w:after="60"/>
      </w:pPr>
      <w:r>
        <w:rPr>
          <w:rFonts w:ascii="Arial" w:cs="Arial" w:eastAsia="Arial" w:hAnsi="Arial"/>
          <w:b/>
          <w:bCs/>
          <w:color w:val="1A2434"/>
          <w:sz w:val="21"/>
          <w:szCs w:val="21"/>
        </w:rPr>
        <w:t xml:space="preserve">Getting PIV2 POs and new vendors into Computyme</w:t>
      </w:r>
      <w:r>
        <w:rPr>
          <w:rFonts w:ascii="Arial" w:cs="Arial" w:eastAsia="Arial" w:hAnsi="Arial"/>
          <w:color w:val="1A2434"/>
          <w:sz w:val="21"/>
          <w:szCs w:val="21"/>
        </w:rPr>
        <w:t xml:space="preserve"> until receiving and AP move: a small Computyme staging program that reads the outbox (needs a UniVerse developer), or keyed in by hand from a PIV2 print.</w:t>
      </w:r>
    </w:p>
    <w:p>
      <w:pPr>
        <w:pStyle w:val="ListParagraph"/>
        <w:numPr>
          <w:ilvl w:val="0"/>
          <w:numId w:val="3"/>
        </w:numPr>
        <w:spacing w:after="60"/>
      </w:pPr>
      <w:r>
        <w:rPr>
          <w:rFonts w:ascii="Arial" w:cs="Arial" w:eastAsia="Arial" w:hAnsi="Arial"/>
          <w:b/>
          <w:bCs/>
          <w:color w:val="1A2434"/>
          <w:sz w:val="21"/>
          <w:szCs w:val="21"/>
        </w:rPr>
        <w:t xml:space="preserve">Which programs are live:</w:t>
      </w:r>
      <w:r>
        <w:rPr>
          <w:rFonts w:ascii="Arial" w:cs="Arial" w:eastAsia="Arial" w:hAnsi="Arial"/>
          <w:color w:val="1A2434"/>
          <w:sz w:val="21"/>
          <w:szCs w:val="21"/>
        </w:rPr>
        <w:t xml:space="preserve"> IV.MNT.PROD.N vs IV.MNT.PROD, IV.ORD.REC.N vs IV.ORD.REC, DH1/IV19/IV20, and whether IV52/IV54 are off the menus (VOC / PRO.MENU export).</w:t>
      </w:r>
    </w:p>
    <w:p>
      <w:pPr>
        <w:pStyle w:val="ListParagraph"/>
        <w:numPr>
          <w:ilvl w:val="0"/>
          <w:numId w:val="3"/>
        </w:numPr>
        <w:spacing w:after="60"/>
      </w:pPr>
      <w:r>
        <w:rPr>
          <w:rFonts w:ascii="Arial" w:cs="Arial" w:eastAsia="Arial" w:hAnsi="Arial"/>
          <w:b/>
          <w:bCs/>
          <w:color w:val="1A2434"/>
          <w:sz w:val="21"/>
          <w:szCs w:val="21"/>
        </w:rPr>
        <w:t xml:space="preserve">Hard-coded numbers to explain:</w:t>
      </w:r>
      <w:r>
        <w:rPr>
          <w:rFonts w:ascii="Arial" w:cs="Arial" w:eastAsia="Arial" w:hAnsi="Arial"/>
          <w:color w:val="1A2434"/>
          <w:sz w:val="21"/>
          <w:szCs w:val="21"/>
        </w:rPr>
        <w:t xml:space="preserve"> vendors 497, 569, 1322 (skipped in member-by-vendor totals; 1322 looks like PRO's warehouse), 992 dated orders, product 555, members 1000 / 1819 / 1846 / 9985.</w:t>
      </w:r>
    </w:p>
    <w:p>
      <w:pPr>
        <w:pStyle w:val="ListParagraph"/>
        <w:numPr>
          <w:ilvl w:val="0"/>
          <w:numId w:val="3"/>
        </w:numPr>
        <w:spacing w:after="60"/>
      </w:pPr>
      <w:r>
        <w:rPr>
          <w:rFonts w:ascii="Arial" w:cs="Arial" w:eastAsia="Arial" w:hAnsi="Arial"/>
          <w:b/>
          <w:bCs/>
          <w:color w:val="1A2434"/>
          <w:sz w:val="21"/>
          <w:szCs w:val="21"/>
        </w:rPr>
        <w:t xml:space="preserve">ProMaster brand:</w:t>
      </w:r>
      <w:r>
        <w:rPr>
          <w:rFonts w:ascii="Arial" w:cs="Arial" w:eastAsia="Arial" w:hAnsi="Arial"/>
          <w:color w:val="1A2434"/>
          <w:sz w:val="21"/>
          <w:szCs w:val="21"/>
        </w:rPr>
        <w:t xml:space="preserve"> stays on PIV2 vendor 1 "PRO", or an AP vendor?</w:t>
      </w:r>
    </w:p>
    <w:p>
      <w:pPr>
        <w:pStyle w:val="Heading1"/>
        <w:spacing w:after="120" w:before="280"/>
      </w:pPr>
      <w:r>
        <w:rPr>
          <w:rFonts w:ascii="Arial" w:cs="Arial" w:eastAsia="Arial" w:hAnsi="Arial"/>
          <w:b/>
          <w:bCs/>
          <w:color w:val="1A2434"/>
          <w:sz w:val="28"/>
          <w:szCs w:val="28"/>
        </w:rPr>
        <w:t xml:space="preserve">Built (2026-10-22, branch feature/category-desk)</w:t>
      </w:r>
    </w:p>
    <w:p>
      <w:pPr>
        <w:pStyle w:val="ListParagraph"/>
        <w:numPr>
          <w:ilvl w:val="0"/>
          <w:numId w:val="2"/>
        </w:numPr>
        <w:spacing w:after="60"/>
      </w:pPr>
      <w:r>
        <w:rPr>
          <w:rFonts w:ascii="Consolas" w:cs="Consolas" w:eastAsia="Consolas" w:hAnsi="Consolas"/>
          <w:color w:val="334155"/>
          <w:sz w:val="19"/>
          <w:szCs w:val="19"/>
        </w:rPr>
        <w:t xml:space="preserve">sql/vendor-desk/00</w:t>
      </w:r>
      <w:r>
        <w:rPr>
          <w:rFonts w:ascii="Arial" w:cs="Arial" w:eastAsia="Arial" w:hAnsi="Arial"/>
          <w:color w:val="1A2434"/>
          <w:sz w:val="21"/>
          <w:szCs w:val="21"/>
        </w:rPr>
        <w:t xml:space="preserve">: read-only vendor discovery (run; results above).</w:t>
      </w:r>
    </w:p>
    <w:p>
      <w:pPr>
        <w:pStyle w:val="ListParagraph"/>
        <w:numPr>
          <w:ilvl w:val="0"/>
          <w:numId w:val="2"/>
        </w:numPr>
        <w:spacing w:after="60"/>
      </w:pPr>
      <w:r>
        <w:rPr>
          <w:rFonts w:ascii="Consolas" w:cs="Consolas" w:eastAsia="Consolas" w:hAnsi="Consolas"/>
          <w:color w:val="334155"/>
          <w:sz w:val="19"/>
          <w:szCs w:val="19"/>
        </w:rPr>
        <w:t xml:space="preserve">sql/vendor-desk/01</w:t>
      </w:r>
      <w:r>
        <w:rPr>
          <w:rFonts w:ascii="Arial" w:cs="Arial" w:eastAsia="Arial" w:hAnsi="Arial"/>
          <w:color w:val="1A2434"/>
          <w:sz w:val="21"/>
          <w:szCs w:val="21"/>
        </w:rPr>
        <w:t xml:space="preserve"> and </w:t>
      </w:r>
      <w:r>
        <w:rPr>
          <w:rFonts w:ascii="Consolas" w:cs="Consolas" w:eastAsia="Consolas" w:hAnsi="Consolas"/>
          <w:color w:val="334155"/>
          <w:sz w:val="19"/>
          <w:szCs w:val="19"/>
        </w:rPr>
        <w:t xml:space="preserve">02</w:t>
      </w:r>
      <w:r>
        <w:rPr>
          <w:rFonts w:ascii="Arial" w:cs="Arial" w:eastAsia="Arial" w:hAnsi="Arial"/>
          <w:color w:val="1A2434"/>
          <w:sz w:val="21"/>
          <w:szCs w:val="21"/>
        </w:rPr>
        <w:t xml:space="preserve">: cutover map, brand ↔ vendor history and reconciliation, vendor record from APMST with parsed terms, direct-billing split, product classes, permissions. Non-destructive.</w:t>
      </w:r>
    </w:p>
    <w:p>
      <w:pPr>
        <w:pStyle w:val="ListParagraph"/>
        <w:numPr>
          <w:ilvl w:val="0"/>
          <w:numId w:val="2"/>
        </w:numPr>
        <w:spacing w:after="60"/>
      </w:pPr>
      <w:r>
        <w:rPr>
          <w:rFonts w:ascii="Arial" w:cs="Arial" w:eastAsia="Arial" w:hAnsi="Arial"/>
          <w:color w:val="1A2434"/>
          <w:sz w:val="21"/>
          <w:szCs w:val="21"/>
        </w:rPr>
        <w:t xml:space="preserve">Screens: </w:t>
      </w:r>
      <w:r>
        <w:rPr>
          <w:rFonts w:ascii="Arial" w:cs="Arial" w:eastAsia="Arial" w:hAnsi="Arial"/>
          <w:b/>
          <w:bCs/>
          <w:color w:val="1A2434"/>
          <w:sz w:val="21"/>
          <w:szCs w:val="21"/>
        </w:rPr>
        <w:t xml:space="preserve">Cutover map</w:t>
      </w:r>
      <w:r>
        <w:rPr>
          <w:rFonts w:ascii="Arial" w:cs="Arial" w:eastAsia="Arial" w:hAnsi="Arial"/>
          <w:color w:val="1A2434"/>
          <w:sz w:val="21"/>
          <w:szCs w:val="21"/>
        </w:rPr>
        <w:t xml:space="preserve"> (</w:t>
      </w:r>
      <w:r>
        <w:rPr>
          <w:rFonts w:ascii="Consolas" w:cs="Consolas" w:eastAsia="Consolas" w:hAnsi="Consolas"/>
          <w:color w:val="334155"/>
          <w:sz w:val="19"/>
          <w:szCs w:val="19"/>
        </w:rPr>
        <w:t xml:space="preserve">/cutover</w:t>
      </w:r>
      <w:r>
        <w:rPr>
          <w:rFonts w:ascii="Arial" w:cs="Arial" w:eastAsia="Arial" w:hAnsi="Arial"/>
          <w:color w:val="1A2434"/>
          <w:sz w:val="21"/>
          <w:szCs w:val="21"/>
        </w:rPr>
        <w:t xml:space="preserve">), </w:t>
      </w:r>
      <w:r>
        <w:rPr>
          <w:rFonts w:ascii="Arial" w:cs="Arial" w:eastAsia="Arial" w:hAnsi="Arial"/>
          <w:b/>
          <w:bCs/>
          <w:color w:val="1A2434"/>
          <w:sz w:val="21"/>
          <w:szCs w:val="21"/>
        </w:rPr>
        <w:t xml:space="preserve">Brands &amp; vendors</w:t>
      </w:r>
      <w:r>
        <w:rPr>
          <w:rFonts w:ascii="Arial" w:cs="Arial" w:eastAsia="Arial" w:hAnsi="Arial"/>
          <w:color w:val="1A2434"/>
          <w:sz w:val="21"/>
          <w:szCs w:val="21"/>
        </w:rPr>
        <w:t xml:space="preserve"> (</w:t>
      </w:r>
      <w:r>
        <w:rPr>
          <w:rFonts w:ascii="Consolas" w:cs="Consolas" w:eastAsia="Consolas" w:hAnsi="Consolas"/>
          <w:color w:val="334155"/>
          <w:sz w:val="19"/>
          <w:szCs w:val="19"/>
        </w:rPr>
        <w:t xml:space="preserve">/brandvendors</w:t>
      </w:r>
      <w:r>
        <w:rPr>
          <w:rFonts w:ascii="Arial" w:cs="Arial" w:eastAsia="Arial" w:hAnsi="Arial"/>
          <w:color w:val="1A2434"/>
          <w:sz w:val="21"/>
          <w:szCs w:val="21"/>
        </w:rPr>
        <w:t xml:space="preserve">: brands with callouts for no vendor, not a payable vendor and products bought from another vendor; product classes), and Vendor Desk tabs </w:t>
      </w:r>
      <w:r>
        <w:rPr>
          <w:rFonts w:ascii="Arial" w:cs="Arial" w:eastAsia="Arial" w:hAnsi="Arial"/>
          <w:b/>
          <w:bCs/>
          <w:color w:val="1A2434"/>
          <w:sz w:val="21"/>
          <w:szCs w:val="21"/>
        </w:rPr>
        <w:t xml:space="preserve">Vendor record</w:t>
      </w:r>
      <w:r>
        <w:rPr>
          <w:rFonts w:ascii="Arial" w:cs="Arial" w:eastAsia="Arial" w:hAnsi="Arial"/>
          <w:color w:val="1A2434"/>
          <w:sz w:val="21"/>
          <w:szCs w:val="21"/>
        </w:rPr>
        <w:t xml:space="preserve">, </w:t>
      </w:r>
      <w:r>
        <w:rPr>
          <w:rFonts w:ascii="Arial" w:cs="Arial" w:eastAsia="Arial" w:hAnsi="Arial"/>
          <w:b/>
          <w:bCs/>
          <w:color w:val="1A2434"/>
          <w:sz w:val="21"/>
          <w:szCs w:val="21"/>
        </w:rPr>
        <w:t xml:space="preserve">Brands</w:t>
      </w:r>
      <w:r>
        <w:rPr>
          <w:rFonts w:ascii="Arial" w:cs="Arial" w:eastAsia="Arial" w:hAnsi="Arial"/>
          <w:color w:val="1A2434"/>
          <w:sz w:val="21"/>
          <w:szCs w:val="21"/>
        </w:rPr>
        <w:t xml:space="preserve">, </w:t>
      </w:r>
      <w:r>
        <w:rPr>
          <w:rFonts w:ascii="Arial" w:cs="Arial" w:eastAsia="Arial" w:hAnsi="Arial"/>
          <w:b/>
          <w:bCs/>
          <w:color w:val="1A2434"/>
          <w:sz w:val="21"/>
          <w:szCs w:val="21"/>
        </w:rPr>
        <w:t xml:space="preserve">Direct billing</w:t>
      </w:r>
      <w:r>
        <w:rPr>
          <w:rFonts w:ascii="Arial" w:cs="Arial" w:eastAsia="Arial" w:hAnsi="Arial"/>
          <w:color w:val="1A2434"/>
          <w:sz w:val="21"/>
          <w:szCs w:val="21"/>
        </w:rPr>
        <w:t xml:space="preserve">. Master marks and legend on every screen; Excel export on every list.</w:t>
      </w:r>
    </w:p>
    <w:p>
      <w:pPr>
        <w:pStyle w:val="ListParagraph"/>
        <w:numPr>
          <w:ilvl w:val="0"/>
          <w:numId w:val="2"/>
        </w:numPr>
        <w:spacing w:after="60"/>
      </w:pPr>
      <w:r>
        <w:rPr>
          <w:rFonts w:ascii="Arial" w:cs="Arial" w:eastAsia="Arial" w:hAnsi="Arial"/>
          <w:color w:val="1A2434"/>
          <w:sz w:val="21"/>
          <w:szCs w:val="21"/>
        </w:rPr>
        <w:t xml:space="preserve">Rules list: </w:t>
      </w:r>
      <w:r>
        <w:rPr>
          <w:rFonts w:ascii="Consolas" w:cs="Consolas" w:eastAsia="Consolas" w:hAnsi="Consolas"/>
          <w:color w:val="334155"/>
          <w:sz w:val="19"/>
          <w:szCs w:val="19"/>
        </w:rPr>
        <w:t xml:space="preserve">docs/computyme-rules/</w:t>
      </w:r>
      <w:r>
        <w:rPr>
          <w:rFonts w:ascii="Arial" w:cs="Arial" w:eastAsia="Arial" w:hAnsi="Arial"/>
          <w:color w:val="1A2434"/>
          <w:sz w:val="21"/>
          <w:szCs w:val="21"/>
        </w:rPr>
        <w:t xml:space="preserve"> (367 programs, 1,567 rules, tracker workbook) and full extractions in </w:t>
      </w:r>
      <w:r>
        <w:rPr>
          <w:rFonts w:ascii="Consolas" w:cs="Consolas" w:eastAsia="Consolas" w:hAnsi="Consolas"/>
          <w:color w:val="334155"/>
          <w:sz w:val="19"/>
          <w:szCs w:val="19"/>
        </w:rPr>
        <w:t xml:space="preserve">docs/extracted-rules/</w:t>
      </w:r>
      <w:r>
        <w:rPr>
          <w:rFonts w:ascii="Arial" w:cs="Arial" w:eastAsia="Arial" w:hAnsi="Arial"/>
          <w:color w:val="1A2434"/>
          <w:sz w:val="21"/>
          <w:szCs w:val="21"/>
        </w:rPr>
        <w:t xml:space="preserve">.</w:t>
      </w:r>
    </w:p>
    <w:p>
      <w:pPr>
        <w:pStyle w:val="Heading1"/>
        <w:spacing w:after="120" w:before="280"/>
      </w:pPr>
      <w:r>
        <w:rPr>
          <w:rFonts w:ascii="Arial" w:cs="Arial" w:eastAsia="Arial" w:hAnsi="Arial"/>
          <w:b/>
          <w:bCs/>
          <w:color w:val="1A2434"/>
          <w:sz w:val="28"/>
          <w:szCs w:val="28"/>
        </w:rPr>
        <w:t xml:space="preserve">Build order from here</w:t>
      </w:r>
    </w:p>
    <w:p>
      <w:pPr>
        <w:pStyle w:val="ListParagraph"/>
        <w:numPr>
          <w:ilvl w:val="0"/>
          <w:numId w:val="4"/>
        </w:numPr>
        <w:spacing w:after="60"/>
      </w:pPr>
      <w:r>
        <w:rPr>
          <w:rFonts w:ascii="Arial" w:cs="Arial" w:eastAsia="Arial" w:hAnsi="Arial"/>
          <w:color w:val="1A2434"/>
          <w:sz w:val="21"/>
          <w:szCs w:val="21"/>
        </w:rPr>
        <w:t xml:space="preserve">Product page: suspend status 1/2/3 with its meaning, and a read-only </w:t>
      </w:r>
      <w:r>
        <w:rPr>
          <w:rFonts w:ascii="Arial" w:cs="Arial" w:eastAsia="Arial" w:hAnsi="Arial"/>
          <w:b/>
          <w:bCs/>
          <w:color w:val="1A2434"/>
          <w:sz w:val="21"/>
          <w:szCs w:val="21"/>
        </w:rPr>
        <w:t xml:space="preserve">Order</w:t>
      </w:r>
      <w:r>
        <w:rPr>
          <w:rFonts w:ascii="Arial" w:cs="Arial" w:eastAsia="Arial" w:hAnsi="Arial"/>
          <w:color w:val="1A2434"/>
          <w:sz w:val="21"/>
          <w:szCs w:val="21"/>
        </w:rPr>
        <w:t xml:space="preserve"> section (Computyme's open POs, on-order, due dates, suggested order with its rule and inputs, forecast beside it).</w:t>
      </w:r>
    </w:p>
    <w:p>
      <w:pPr>
        <w:pStyle w:val="ListParagraph"/>
        <w:numPr>
          <w:ilvl w:val="0"/>
          <w:numId w:val="4"/>
        </w:numPr>
        <w:spacing w:after="60"/>
      </w:pPr>
      <w:r>
        <w:rPr>
          <w:rFonts w:ascii="Arial" w:cs="Arial" w:eastAsia="Arial" w:hAnsi="Arial"/>
          <w:color w:val="1A2434"/>
          <w:sz w:val="21"/>
          <w:szCs w:val="21"/>
        </w:rPr>
        <w:t xml:space="preserve">Category Desk vendor resolution through </w:t>
      </w:r>
      <w:r>
        <w:rPr>
          <w:rFonts w:ascii="Consolas" w:cs="Consolas" w:eastAsia="Consolas" w:hAnsi="Consolas"/>
          <w:color w:val="334155"/>
          <w:sz w:val="19"/>
          <w:szCs w:val="19"/>
        </w:rPr>
        <w:t xml:space="preserve">Brand.VendorID</w:t>
      </w:r>
      <w:r>
        <w:rPr>
          <w:rFonts w:ascii="Arial" w:cs="Arial" w:eastAsia="Arial" w:hAnsi="Arial"/>
          <w:color w:val="1A2434"/>
          <w:sz w:val="21"/>
          <w:szCs w:val="21"/>
        </w:rPr>
        <w:t xml:space="preserve">.</w:t>
      </w:r>
    </w:p>
    <w:p>
      <w:pPr>
        <w:pStyle w:val="ListParagraph"/>
        <w:numPr>
          <w:ilvl w:val="0"/>
          <w:numId w:val="4"/>
        </w:numPr>
        <w:spacing w:after="60"/>
      </w:pPr>
      <w:r>
        <w:rPr>
          <w:rFonts w:ascii="Arial" w:cs="Arial" w:eastAsia="Arial" w:hAnsi="Arial"/>
          <w:color w:val="1A2434"/>
          <w:sz w:val="21"/>
          <w:szCs w:val="21"/>
        </w:rPr>
        <w:t xml:space="preserve">Reconciliation reports per section (SQL vs Computyme), the check before any switch.</w:t>
      </w:r>
    </w:p>
    <w:p>
      <w:pPr>
        <w:pStyle w:val="ListParagraph"/>
        <w:numPr>
          <w:ilvl w:val="0"/>
          <w:numId w:val="4"/>
        </w:numPr>
        <w:spacing w:after="60"/>
      </w:pPr>
      <w:r>
        <w:rPr>
          <w:rFonts w:ascii="Arial" w:cs="Arial" w:eastAsia="Arial" w:hAnsi="Arial"/>
          <w:color w:val="1A2434"/>
          <w:sz w:val="21"/>
          <w:szCs w:val="21"/>
        </w:rPr>
        <w:t xml:space="preserve">PO tables and per-vendor draft POs, when POs cut over.</w:t>
      </w:r>
    </w:p>
    <w:p>
      <w:pPr>
        <w:pStyle w:val="ListParagraph"/>
        <w:numPr>
          <w:ilvl w:val="0"/>
          <w:numId w:val="4"/>
        </w:numPr>
        <w:spacing w:after="60"/>
      </w:pPr>
      <w:r>
        <w:rPr>
          <w:rFonts w:ascii="Arial" w:cs="Arial" w:eastAsia="Arial" w:hAnsi="Arial"/>
          <w:color w:val="1A2434"/>
          <w:sz w:val="21"/>
          <w:szCs w:val="21"/>
        </w:rPr>
        <w:t xml:space="preserve">Outbox to Computyme for POs and new vendors (after decision 3).</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C6B81"/>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6B81"/>
        <w:sz w:val="16"/>
        <w:szCs w:val="16"/>
      </w:rPr>
      <w:t xml:space="preserve">Vendor Desk and Product PO: build and cutover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Desk and Product PO: build and cutover plan</dc:title>
  <dc:creator>PRO</dc:creator>
  <cp:lastModifiedBy>Un-named</cp:lastModifiedBy>
  <cp:revision>1</cp:revision>
  <dcterms:created xsi:type="dcterms:W3CDTF">2026-10-22T16:54:24.766Z</dcterms:created>
  <dcterms:modified xsi:type="dcterms:W3CDTF">2026-10-22T16:54:24.769Z</dcterms:modified>
</cp:coreProperties>
</file>

<file path=docProps/custom.xml><?xml version="1.0" encoding="utf-8"?>
<Properties xmlns="http://schemas.openxmlformats.org/officeDocument/2006/custom-properties" xmlns:vt="http://schemas.openxmlformats.org/officeDocument/2006/docPropsVTypes"/>
</file>