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E7C73"/>
          <w:sz w:val="18"/>
          <w:szCs w:val="18"/>
        </w:rPr>
        <w:t xml:space="preserve">PRO SYSTEMS · PIV2 · MERCHANDISING AND AI</w:t>
      </w:r>
    </w:p>
    <w:p>
      <w:pPr>
        <w:spacing w:after="80"/>
      </w:pPr>
      <w:r>
        <w:rPr>
          <w:rFonts w:ascii="Arial" w:cs="Arial" w:eastAsia="Arial" w:hAnsi="Arial"/>
          <w:b/>
          <w:bCs/>
          <w:color w:val="141C2B"/>
          <w:sz w:val="44"/>
          <w:szCs w:val="44"/>
        </w:rPr>
        <w:t xml:space="preserve">Category Desk and Product AI</w:t>
      </w:r>
    </w:p>
    <w:p>
      <w:pPr>
        <w:pBdr>
          <w:bottom w:val="single" w:color="0E7C73" w:sz="8" w:space="8"/>
        </w:pBdr>
        <w:spacing w:after="240"/>
      </w:pPr>
      <w:r>
        <w:rPr>
          <w:rFonts w:ascii="Arial" w:cs="Arial" w:eastAsia="Arial" w:hAnsi="Arial"/>
          <w:color w:val="5B6472"/>
          <w:sz w:val="21"/>
          <w:szCs w:val="21"/>
        </w:rPr>
        <w:t xml:space="preserve">Design, decisions and build · October 21, 2026 · Owner: Mark (CTO)</w:t>
      </w:r>
    </w:p>
    <w:p>
      <w:pPr>
        <w:pStyle w:val="Heading1"/>
        <w:pBdr>
          <w:bottom w:val="single" w:color="DDE1E7" w:sz="6" w:space="4"/>
        </w:pBdr>
        <w:spacing w:after="140" w:before="320"/>
      </w:pPr>
      <w:r>
        <w:rPr>
          <w:rFonts w:ascii="Arial" w:cs="Arial" w:eastAsia="Arial" w:hAnsi="Arial"/>
          <w:b/>
          <w:bCs/>
          <w:color w:val="0E7C73"/>
          <w:sz w:val="30"/>
          <w:szCs w:val="30"/>
        </w:rPr>
        <w:t xml:space="preserve">1. Summary</w:t>
      </w:r>
    </w:p>
    <w:p>
      <w:pPr>
        <w:spacing w:after="120" w:line="276"/>
      </w:pPr>
      <w:r>
        <w:rPr>
          <w:rFonts w:ascii="Arial" w:cs="Arial" w:eastAsia="Arial" w:hAnsi="Arial"/>
          <w:color w:val="141C2B"/>
          <w:sz w:val="21"/>
          <w:szCs w:val="21"/>
        </w:rPr>
        <w:t xml:space="preserve">Two packages, built together and deployed together.</w:t>
      </w:r>
    </w:p>
    <w:p>
      <w:pPr>
        <w:pStyle w:val="ListParagraph"/>
        <w:numPr>
          <w:ilvl w:val="0"/>
          <w:numId w:val="2"/>
        </w:numPr>
        <w:spacing w:after="60" w:line="264"/>
      </w:pPr>
      <w:r>
        <w:rPr>
          <w:rFonts w:ascii="Arial" w:cs="Arial" w:eastAsia="Arial" w:hAnsi="Arial"/>
          <w:b/>
          <w:bCs/>
          <w:color w:val="141C2B"/>
          <w:sz w:val="21"/>
          <w:szCs w:val="21"/>
        </w:rPr>
        <w:t xml:space="preserve">Category Desk</w:t>
      </w:r>
      <w:r>
        <w:rPr>
          <w:rFonts w:ascii="Arial" w:cs="Arial" w:eastAsia="Arial" w:hAnsi="Arial"/>
          <w:color w:val="141C2B"/>
          <w:sz w:val="21"/>
          <w:szCs w:val="21"/>
        </w:rPr>
        <w:t xml:space="preserve"> replaces the legacy ProdCat tree and NewCats screens. Staff manage the category tree members see on the Connection WH page, and where every product sits, in a draft that goes live only when they press Publish. Every publish can be reverted.</w:t>
      </w:r>
    </w:p>
    <w:p>
      <w:pPr>
        <w:pStyle w:val="ListParagraph"/>
        <w:numPr>
          <w:ilvl w:val="0"/>
          <w:numId w:val="2"/>
        </w:numPr>
        <w:spacing w:after="60" w:line="264"/>
      </w:pPr>
      <w:r>
        <w:rPr>
          <w:rFonts w:ascii="Arial" w:cs="Arial" w:eastAsia="Arial" w:hAnsi="Arial"/>
          <w:b/>
          <w:bCs/>
          <w:color w:val="141C2B"/>
          <w:sz w:val="21"/>
          <w:szCs w:val="21"/>
        </w:rPr>
        <w:t xml:space="preserve">Product AI</w:t>
      </w:r>
      <w:r>
        <w:rPr>
          <w:rFonts w:ascii="Arial" w:cs="Arial" w:eastAsia="Arial" w:hAnsi="Arial"/>
          <w:color w:val="141C2B"/>
          <w:sz w:val="21"/>
          <w:szCs w:val="21"/>
        </w:rPr>
        <w:t xml:space="preserve"> adds market research to the Product Desk, saves every answer to the product, and puts every AI feature behind its own permission, a monthly budget, a daily limit per person, and a usage log that records the model that answered.</w:t>
      </w:r>
    </w:p>
    <w:p>
      <w:pPr>
        <w:spacing w:after="120" w:line="276"/>
      </w:pPr>
      <w:r>
        <w:rPr>
          <w:rFonts w:ascii="Arial" w:cs="Arial" w:eastAsia="Arial" w:hAnsi="Arial"/>
          <w:color w:val="141C2B"/>
          <w:sz w:val="21"/>
          <w:szCs w:val="21"/>
        </w:rPr>
        <w:t xml:space="preserve">Nothing in Connection changes. Both packages reuse the existing category and product tables; the few new objects are listed in section 5.</w:t>
      </w:r>
    </w:p>
    <w:p>
      <w:pPr>
        <w:pStyle w:val="Heading1"/>
        <w:pBdr>
          <w:bottom w:val="single" w:color="DDE1E7" w:sz="6" w:space="4"/>
        </w:pBdr>
        <w:spacing w:after="140" w:before="320"/>
      </w:pPr>
      <w:r>
        <w:rPr>
          <w:rFonts w:ascii="Arial" w:cs="Arial" w:eastAsia="Arial" w:hAnsi="Arial"/>
          <w:b/>
          <w:bCs/>
          <w:color w:val="0E7C73"/>
          <w:sz w:val="30"/>
          <w:szCs w:val="30"/>
        </w:rPr>
        <w:t xml:space="preserve">2. Who owns the category</w:t>
      </w:r>
    </w:p>
    <w:p>
      <w:pPr>
        <w:spacing w:after="120" w:line="276"/>
      </w:pPr>
      <w:r>
        <w:rPr>
          <w:rFonts w:ascii="Arial" w:cs="Arial" w:eastAsia="Arial" w:hAnsi="Arial"/>
          <w:color w:val="141C2B"/>
          <w:sz w:val="21"/>
          <w:szCs w:val="21"/>
        </w:rPr>
        <w:t xml:space="preserve">Each product's EGRP is set in Computyme, which also uses it for net and terms. In the tree, an </w:t>
      </w:r>
      <w:r>
        <w:rPr>
          <w:rFonts w:ascii="Arial" w:cs="Arial" w:eastAsia="Arial" w:hAnsi="Arial"/>
          <w:b/>
          <w:bCs/>
          <w:color w:val="141C2B"/>
          <w:sz w:val="21"/>
          <w:szCs w:val="21"/>
        </w:rPr>
        <w:t xml:space="preserve">EGRP category</w:t>
      </w:r>
      <w:r>
        <w:rPr>
          <w:rFonts w:ascii="Arial" w:cs="Arial" w:eastAsia="Arial" w:hAnsi="Arial"/>
          <w:color w:val="141C2B"/>
          <w:sz w:val="21"/>
          <w:szCs w:val="21"/>
        </w:rPr>
        <w:t xml:space="preserve"> (a category carrying an EGRP) sits either at the top level or under a web group such as Bags &amp; Cases; today 21 are at the top level and 58 under groups. Groups above EGRP categories and sub-categories below them are web-only and live in SQL, because Computyme has no web categories. The same switch the Product Desk uses, </w:t>
      </w:r>
      <w:r>
        <w:rPr>
          <w:rFonts w:ascii="Arial" w:cs="Arial" w:eastAsia="Arial" w:hAnsi="Arial"/>
          <w:b/>
          <w:bCs/>
          <w:color w:val="141C2B"/>
          <w:sz w:val="21"/>
          <w:szCs w:val="21"/>
        </w:rPr>
        <w:t xml:space="preserve">Product:SqlIsMaster</w:t>
      </w:r>
      <w:r>
        <w:rPr>
          <w:rFonts w:ascii="Arial" w:cs="Arial" w:eastAsia="Arial" w:hAnsi="Arial"/>
          <w:color w:val="141C2B"/>
          <w:sz w:val="21"/>
          <w:szCs w:val="21"/>
        </w:rPr>
        <w:t xml:space="preserve">, decides which mode the desk runs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
            </w:r>
          </w:p>
        </w:tc>
        <w:tc>
          <w:tcPr>
            <w:tcW w:type="dxa" w:w="368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Switch false (now)</w:t>
            </w:r>
          </w:p>
        </w:tc>
        <w:tc>
          <w:tcPr>
            <w:tcW w:type="dxa" w:w="368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Switch true (after cutover)</w:t>
            </w:r>
          </w:p>
        </w:tc>
      </w:tr>
      <w:tr>
        <w:tc>
          <w:tcPr>
            <w:tcW w:type="dxa" w:w="2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EGRP categories</w:t>
            </w:r>
          </w:p>
        </w:tc>
        <w:tc>
          <w:tcPr>
            <w:tcW w:type="dxa" w:w="3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Marked with a lock. Can be renamed and regrouped under any group; can't be merged away, emptied or put inside another EGRP. New ones come from an EGRP not yet in the tree (replaces NewCats).</w:t>
            </w:r>
          </w:p>
        </w:tc>
        <w:tc>
          <w:tcPr>
            <w:tcW w:type="dxa" w:w="3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Created and edited in PIV2, saved to PIV2_Product.EGRP, sent to Computyme by the product adapter.</w:t>
            </w:r>
          </w:p>
        </w:tc>
      </w:tr>
      <w:tr>
        <w:tc>
          <w:tcPr>
            <w:tcW w:type="dxa" w:w="2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 product's EGRP</w:t>
            </w:r>
          </w:p>
        </w:tc>
        <w:tc>
          <w:tcPr>
            <w:tcW w:type="dxa" w:w="36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From Computyme (IVMSTData.E_GRP). Changing it is a Computyme edit.</w:t>
            </w:r>
          </w:p>
        </w:tc>
        <w:tc>
          <w:tcPr>
            <w:tcW w:type="dxa" w:w="36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Editable on both desks.</w:t>
            </w:r>
          </w:p>
        </w:tc>
      </w:tr>
      <w:tr>
        <w:tc>
          <w:tcPr>
            <w:tcW w:type="dxa" w:w="2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Groups and sub-categories</w:t>
            </w:r>
          </w:p>
        </w:tc>
        <w:tc>
          <w:tcPr>
            <w:tcW w:type="dxa" w:w="3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Fully editable, any depth.</w:t>
            </w:r>
          </w:p>
        </w:tc>
        <w:tc>
          <w:tcPr>
            <w:tcW w:type="dxa" w:w="3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Same.</w:t>
            </w:r>
          </w:p>
        </w:tc>
      </w:tr>
      <w:tr>
        <w:tc>
          <w:tcPr>
            <w:tcW w:type="dxa" w:w="2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Placing products</w:t>
            </w:r>
          </w:p>
        </w:tc>
        <w:tc>
          <w:tcPr>
            <w:tcW w:type="dxa" w:w="36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Only inside the product's EGRP category. A bulk move moves the products that fit and reports the rest.</w:t>
            </w:r>
          </w:p>
        </w:tc>
        <w:tc>
          <w:tcPr>
            <w:tcW w:type="dxa" w:w="36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Anywhere.</w:t>
            </w:r>
          </w:p>
        </w:tc>
      </w:tr>
      <w:tr>
        <w:tc>
          <w:tcPr>
            <w:tcW w:type="dxa" w:w="2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Product outside its EGRP</w:t>
            </w:r>
          </w:p>
        </w:tc>
        <w:tc>
          <w:tcPr>
            <w:tcW w:type="dxa" w:w="3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Suspect queue, "fix in Computyme".</w:t>
            </w:r>
          </w:p>
        </w:tc>
        <w:tc>
          <w:tcPr>
            <w:tcW w:type="dxa" w:w="3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Fixed on the desk.</w:t>
            </w:r>
          </w:p>
        </w:tc>
      </w:tr>
    </w:tbl>
    <w:p>
      <w:pPr>
        <w:spacing w:after="80"/>
      </w:pPr>
    </w:p>
    <w:p>
      <w:pPr>
        <w:spacing w:after="120" w:line="276"/>
      </w:pPr>
      <w:r>
        <w:rPr>
          <w:rFonts w:ascii="Arial" w:cs="Arial" w:eastAsia="Arial" w:hAnsi="Arial"/>
          <w:color w:val="141C2B"/>
          <w:sz w:val="21"/>
          <w:szCs w:val="21"/>
        </w:rPr>
        <w:t xml:space="preserve">A product's EGRP is read in one place, the view piv2.vProductEgrp (IVMSTData.E_GRP today). At cutover that view switches to PIV2_Product.EGRP and nothing else changes. The cutover plan (Product Data – Ownership and Cutover) lists EGRP as a Computyme-owned field; the Computyme import API must accept EGRP per product and a new EGRP; PIV2_Product needs an EGRP column.</w:t>
      </w:r>
    </w:p>
    <w:p>
      <w:pPr>
        <w:pStyle w:val="Heading1"/>
        <w:pBdr>
          <w:bottom w:val="single" w:color="DDE1E7" w:sz="6" w:space="4"/>
        </w:pBdr>
        <w:spacing w:after="140" w:before="320"/>
      </w:pPr>
      <w:r>
        <w:rPr>
          <w:rFonts w:ascii="Arial" w:cs="Arial" w:eastAsia="Arial" w:hAnsi="Arial"/>
          <w:b/>
          <w:bCs/>
          <w:color w:val="0E7C73"/>
          <w:sz w:val="30"/>
          <w:szCs w:val="30"/>
        </w:rPr>
        <w:t xml:space="preserve">3. The Category Desk</w:t>
      </w:r>
    </w:p>
    <w:p>
      <w:pPr>
        <w:pStyle w:val="Heading2"/>
        <w:spacing w:after="100" w:before="220"/>
      </w:pPr>
      <w:r>
        <w:rPr>
          <w:rFonts w:ascii="Arial" w:cs="Arial" w:eastAsia="Arial" w:hAnsi="Arial"/>
          <w:b/>
          <w:bCs/>
          <w:color w:val="141C2B"/>
          <w:sz w:val="24"/>
          <w:szCs w:val="24"/>
        </w:rPr>
        <w:t xml:space="preserve">Draft, publish, undo, revert</w:t>
      </w:r>
    </w:p>
    <w:p>
      <w:pPr>
        <w:pStyle w:val="ListParagraph"/>
        <w:numPr>
          <w:ilvl w:val="0"/>
          <w:numId w:val="2"/>
        </w:numPr>
        <w:spacing w:after="60" w:line="264"/>
      </w:pPr>
      <w:r>
        <w:rPr>
          <w:rFonts w:ascii="Arial" w:cs="Arial" w:eastAsia="Arial" w:hAnsi="Arial"/>
          <w:color w:val="141C2B"/>
          <w:sz w:val="21"/>
          <w:szCs w:val="21"/>
        </w:rPr>
        <w:t xml:space="preserve">Every change is a draft: renames, moves, show/hide, notes, new categories, deletes, merges and product moves. A blue dot marks what changed.</w:t>
      </w:r>
    </w:p>
    <w:p>
      <w:pPr>
        <w:pStyle w:val="ListParagraph"/>
        <w:numPr>
          <w:ilvl w:val="0"/>
          <w:numId w:val="2"/>
        </w:numPr>
        <w:spacing w:after="60" w:line="264"/>
      </w:pPr>
      <w:r>
        <w:rPr>
          <w:rFonts w:ascii="Arial" w:cs="Arial" w:eastAsia="Arial" w:hAnsi="Arial"/>
          <w:color w:val="141C2B"/>
          <w:sz w:val="21"/>
          <w:szCs w:val="21"/>
        </w:rPr>
        <w:t xml:space="preserve">Undo and redo (Ctrl+Z, Ctrl+Y) step through the session. Discard drops the draft. The draft survives a browser reload until it is published or discarded.</w:t>
      </w:r>
    </w:p>
    <w:p>
      <w:pPr>
        <w:pStyle w:val="ListParagraph"/>
        <w:numPr>
          <w:ilvl w:val="0"/>
          <w:numId w:val="2"/>
        </w:numPr>
        <w:spacing w:after="60" w:line="264"/>
      </w:pPr>
      <w:r>
        <w:rPr>
          <w:rFonts w:ascii="Arial" w:cs="Arial" w:eastAsia="Arial" w:hAnsi="Arial"/>
          <w:color w:val="141C2B"/>
          <w:sz w:val="21"/>
          <w:szCs w:val="21"/>
        </w:rPr>
        <w:t xml:space="preserve">Publish shows every change, takes a one-line comment, and writes the whole batch in one transaction.</w:t>
      </w:r>
    </w:p>
    <w:p>
      <w:pPr>
        <w:pStyle w:val="ListParagraph"/>
        <w:numPr>
          <w:ilvl w:val="0"/>
          <w:numId w:val="2"/>
        </w:numPr>
        <w:spacing w:after="60" w:line="264"/>
      </w:pPr>
      <w:r>
        <w:rPr>
          <w:rFonts w:ascii="Arial" w:cs="Arial" w:eastAsia="Arial" w:hAnsi="Arial"/>
          <w:color w:val="141C2B"/>
          <w:sz w:val="21"/>
          <w:szCs w:val="21"/>
        </w:rPr>
        <w:t xml:space="preserve">Any past publish can be reverted. A revert is itself a publish, so it can be reverted too. If a later publish changed the same items, the desk lists them; the user leaves them (recommended) or overwrites them.</w:t>
      </w:r>
    </w:p>
    <w:p>
      <w:pPr>
        <w:pStyle w:val="ListParagraph"/>
        <w:numPr>
          <w:ilvl w:val="0"/>
          <w:numId w:val="2"/>
        </w:numPr>
        <w:spacing w:after="60" w:line="264"/>
      </w:pPr>
      <w:r>
        <w:rPr>
          <w:rFonts w:ascii="Arial" w:cs="Arial" w:eastAsia="Arial" w:hAnsi="Arial"/>
          <w:color w:val="141C2B"/>
          <w:sz w:val="21"/>
          <w:szCs w:val="21"/>
        </w:rPr>
        <w:t xml:space="preserve">If someone else published changes to the same categories or products after you started, your publish is refused with who and what, so nobody overwrites work they haven't seen.</w:t>
      </w:r>
    </w:p>
    <w:p>
      <w:pPr>
        <w:pStyle w:val="Heading2"/>
        <w:spacing w:after="100" w:before="220"/>
      </w:pPr>
      <w:r>
        <w:rPr>
          <w:rFonts w:ascii="Arial" w:cs="Arial" w:eastAsia="Arial" w:hAnsi="Arial"/>
          <w:b/>
          <w:bCs/>
          <w:color w:val="141C2B"/>
          <w:sz w:val="24"/>
          <w:szCs w:val="24"/>
        </w:rPr>
        <w:t xml:space="preserve">Working with the tree</w:t>
      </w:r>
    </w:p>
    <w:p>
      <w:pPr>
        <w:pStyle w:val="ListParagraph"/>
        <w:numPr>
          <w:ilvl w:val="0"/>
          <w:numId w:val="2"/>
        </w:numPr>
        <w:spacing w:after="60" w:line="264"/>
      </w:pPr>
      <w:r>
        <w:rPr>
          <w:rFonts w:ascii="Arial" w:cs="Arial" w:eastAsia="Arial" w:hAnsi="Arial"/>
          <w:color w:val="141C2B"/>
          <w:sz w:val="21"/>
          <w:szCs w:val="21"/>
        </w:rPr>
        <w:t xml:space="preserve">Drag a category onto another to move it, with its sub-categories and products. Drag products from the list onto a category.</w:t>
      </w:r>
    </w:p>
    <w:p>
      <w:pPr>
        <w:pStyle w:val="ListParagraph"/>
        <w:numPr>
          <w:ilvl w:val="0"/>
          <w:numId w:val="2"/>
        </w:numPr>
        <w:spacing w:after="60" w:line="264"/>
      </w:pPr>
      <w:r>
        <w:rPr>
          <w:rFonts w:ascii="Arial" w:cs="Arial" w:eastAsia="Arial" w:hAnsi="Arial"/>
          <w:color w:val="141C2B"/>
          <w:sz w:val="21"/>
          <w:szCs w:val="21"/>
        </w:rPr>
        <w:t xml:space="preserve">Rename inline (double-click or F2), add a sub-category, show or hide (hiding hides everything under it), internal notes (never on B2B), merge into another category, delete.</w:t>
      </w:r>
    </w:p>
    <w:p>
      <w:pPr>
        <w:pStyle w:val="ListParagraph"/>
        <w:numPr>
          <w:ilvl w:val="0"/>
          <w:numId w:val="2"/>
        </w:numPr>
        <w:spacing w:after="60" w:line="264"/>
      </w:pPr>
      <w:r>
        <w:rPr>
          <w:rFonts w:ascii="Arial" w:cs="Arial" w:eastAsia="Arial" w:hAnsi="Arial"/>
          <w:color w:val="141C2B"/>
          <w:sz w:val="21"/>
          <w:szCs w:val="21"/>
        </w:rPr>
        <w:t xml:space="preserve">Delete is blocked while products are attached: the desk asks where they go, then deletes the category and its sub-categories.</w:t>
      </w:r>
    </w:p>
    <w:p>
      <w:pPr>
        <w:pStyle w:val="ListParagraph"/>
        <w:numPr>
          <w:ilvl w:val="0"/>
          <w:numId w:val="2"/>
        </w:numPr>
        <w:spacing w:after="60" w:line="264"/>
      </w:pPr>
      <w:r>
        <w:rPr>
          <w:rFonts w:ascii="Arial" w:cs="Arial" w:eastAsia="Arial" w:hAnsi="Arial"/>
          <w:color w:val="141C2B"/>
          <w:sz w:val="21"/>
          <w:szCs w:val="21"/>
        </w:rPr>
        <w:t xml:space="preserve">Counts on every node roll up from everything below it, including unpublished moves.</w:t>
      </w:r>
    </w:p>
    <w:p>
      <w:pPr>
        <w:pStyle w:val="ListParagraph"/>
        <w:numPr>
          <w:ilvl w:val="0"/>
          <w:numId w:val="2"/>
        </w:numPr>
        <w:spacing w:after="60" w:line="264"/>
      </w:pPr>
      <w:r>
        <w:rPr>
          <w:rFonts w:ascii="Arial" w:cs="Arial" w:eastAsia="Arial" w:hAnsi="Arial"/>
          <w:color w:val="141C2B"/>
          <w:sz w:val="21"/>
          <w:szCs w:val="21"/>
        </w:rPr>
        <w:t xml:space="preserve">Find in tree keeps matching branches open. Orphan categories (parent missing) are listed so they can be fixed.</w:t>
      </w:r>
    </w:p>
    <w:p>
      <w:pPr>
        <w:pStyle w:val="Heading2"/>
        <w:spacing w:after="100" w:before="220"/>
      </w:pPr>
      <w:r>
        <w:rPr>
          <w:rFonts w:ascii="Arial" w:cs="Arial" w:eastAsia="Arial" w:hAnsi="Arial"/>
          <w:b/>
          <w:bCs/>
          <w:color w:val="141C2B"/>
          <w:sz w:val="24"/>
          <w:szCs w:val="24"/>
        </w:rPr>
        <w:t xml:space="preserve">Products</w:t>
      </w:r>
    </w:p>
    <w:p>
      <w:pPr>
        <w:pStyle w:val="ListParagraph"/>
        <w:numPr>
          <w:ilvl w:val="0"/>
          <w:numId w:val="2"/>
        </w:numPr>
        <w:spacing w:after="60" w:line="264"/>
      </w:pPr>
      <w:r>
        <w:rPr>
          <w:rFonts w:ascii="Arial" w:cs="Arial" w:eastAsia="Arial" w:hAnsi="Arial"/>
          <w:color w:val="141C2B"/>
          <w:sz w:val="21"/>
          <w:szCs w:val="21"/>
        </w:rPr>
        <w:t xml:space="preserve">Select a category to see everything that rolls into it, or search all products by code, model or brand, brand, vendor, active or discontinued, for sale, public, EGRP, and new in the last N days.</w:t>
      </w:r>
    </w:p>
    <w:p>
      <w:pPr>
        <w:pStyle w:val="ListParagraph"/>
        <w:numPr>
          <w:ilvl w:val="0"/>
          <w:numId w:val="2"/>
        </w:numPr>
        <w:spacing w:after="60" w:line="264"/>
      </w:pPr>
      <w:r>
        <w:rPr>
          <w:rFonts w:ascii="Arial" w:cs="Arial" w:eastAsia="Arial" w:hAnsi="Arial"/>
          <w:color w:val="141C2B"/>
          <w:sz w:val="21"/>
          <w:szCs w:val="21"/>
        </w:rPr>
        <w:t xml:space="preserve">Tick products or "Select all N matching", then Move selected to…; the move goes into the draft.</w:t>
      </w:r>
    </w:p>
    <w:p>
      <w:pPr>
        <w:pStyle w:val="ListParagraph"/>
        <w:numPr>
          <w:ilvl w:val="0"/>
          <w:numId w:val="2"/>
        </w:numPr>
        <w:spacing w:after="60" w:line="264"/>
      </w:pPr>
      <w:r>
        <w:rPr>
          <w:rFonts w:ascii="Arial" w:cs="Arial" w:eastAsia="Arial" w:hAnsi="Arial"/>
          <w:color w:val="141C2B"/>
          <w:sz w:val="21"/>
          <w:szCs w:val="21"/>
        </w:rPr>
        <w:t xml:space="preserve">Discontinued products show their replacement, with "Replacement here" to put the replacement in the same category.</w:t>
      </w:r>
    </w:p>
    <w:p>
      <w:pPr>
        <w:pStyle w:val="Heading2"/>
        <w:spacing w:after="100" w:before="220"/>
      </w:pPr>
      <w:r>
        <w:rPr>
          <w:rFonts w:ascii="Arial" w:cs="Arial" w:eastAsia="Arial" w:hAnsi="Arial"/>
          <w:b/>
          <w:bCs/>
          <w:color w:val="141C2B"/>
          <w:sz w:val="24"/>
          <w:szCs w:val="24"/>
        </w:rPr>
        <w:t xml:space="preserve">Queues and suggestions</w:t>
      </w:r>
    </w:p>
    <w:p>
      <w:pPr>
        <w:pStyle w:val="ListParagraph"/>
        <w:numPr>
          <w:ilvl w:val="0"/>
          <w:numId w:val="2"/>
        </w:numPr>
        <w:spacing w:after="60" w:line="264"/>
      </w:pPr>
      <w:r>
        <w:rPr>
          <w:rFonts w:ascii="Arial" w:cs="Arial" w:eastAsia="Arial" w:hAnsi="Arial"/>
          <w:b/>
          <w:bCs/>
          <w:color w:val="141C2B"/>
          <w:sz w:val="21"/>
          <w:szCs w:val="21"/>
        </w:rPr>
        <w:t xml:space="preserve">Uncategorized</w:t>
      </w:r>
      <w:r>
        <w:rPr>
          <w:rFonts w:ascii="Arial" w:cs="Arial" w:eastAsia="Arial" w:hAnsi="Arial"/>
          <w:color w:val="141C2B"/>
          <w:sz w:val="21"/>
          <w:szCs w:val="21"/>
        </w:rPr>
        <w:t xml:space="preserve">: active products with no category.</w:t>
      </w:r>
    </w:p>
    <w:p>
      <w:pPr>
        <w:pStyle w:val="ListParagraph"/>
        <w:numPr>
          <w:ilvl w:val="0"/>
          <w:numId w:val="2"/>
        </w:numPr>
        <w:spacing w:after="60" w:line="264"/>
      </w:pPr>
      <w:r>
        <w:rPr>
          <w:rFonts w:ascii="Arial" w:cs="Arial" w:eastAsia="Arial" w:hAnsi="Arial"/>
          <w:b/>
          <w:bCs/>
          <w:color w:val="141C2B"/>
          <w:sz w:val="21"/>
          <w:szCs w:val="21"/>
        </w:rPr>
        <w:t xml:space="preserve">Suspect</w:t>
      </w:r>
      <w:r>
        <w:rPr>
          <w:rFonts w:ascii="Arial" w:cs="Arial" w:eastAsia="Arial" w:hAnsi="Arial"/>
          <w:color w:val="141C2B"/>
          <w:sz w:val="21"/>
          <w:szCs w:val="21"/>
        </w:rPr>
        <w:t xml:space="preserve">: category hidden or missing, product sits on a category that has sub-categories, not inside its EGRP category, or discontinued with an uncategorized replacement.</w:t>
      </w:r>
    </w:p>
    <w:p>
      <w:pPr>
        <w:spacing w:after="120" w:line="276"/>
      </w:pPr>
      <w:r>
        <w:rPr>
          <w:rFonts w:ascii="Arial" w:cs="Arial" w:eastAsia="Arial" w:hAnsi="Arial"/>
          <w:color w:val="141C2B"/>
          <w:sz w:val="21"/>
          <w:szCs w:val="21"/>
        </w:rPr>
        <w:t xml:space="preserve">Each queued product shows a suggested category, the reason and a confidence. Accept one, or "Accept all on this page at N% or more". Accepted suggestions go into the draft and are marked as suggested in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t>
            </w:r>
          </w:p>
        </w:tc>
        <w:tc>
          <w:tcPr>
            <w:tcW w:type="dxa" w:w="408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Signal</w:t>
            </w:r>
          </w:p>
        </w:tc>
        <w:tc>
          <w:tcPr>
            <w:tcW w:type="dxa" w:w="468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Example reason shown</w:t>
            </w:r>
          </w:p>
        </w:tc>
      </w:tr>
      <w:tr>
        <w:tc>
          <w:tcPr>
            <w:tcW w:type="dxa" w:w="6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1</w:t>
            </w:r>
          </w:p>
        </w:tc>
        <w:tc>
          <w:tcPr>
            <w:tcW w:type="dxa" w:w="40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It replaces a discontinued product that is categorized</w:t>
            </w:r>
          </w:p>
        </w:tc>
        <w:tc>
          <w:tcPr>
            <w:tcW w:type="dxa" w:w="4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Replaces 55120, which is in Batteries › Rechargeable › Li-ion camera packs</w:t>
            </w:r>
          </w:p>
        </w:tc>
      </w:tr>
      <w:tr>
        <w:tc>
          <w:tcPr>
            <w:tcW w:type="dxa" w:w="6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2</w:t>
            </w:r>
          </w:p>
        </w:tc>
        <w:tc>
          <w:tcPr>
            <w:tcW w:type="dxa" w:w="40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Most products of the same brand in its EGRP branch sit here</w:t>
            </w:r>
          </w:p>
        </w:tc>
        <w:tc>
          <w:tcPr>
            <w:tcW w:type="dxa" w:w="46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38 of 41 ProMaster products in this branch are here (92%)</w:t>
            </w:r>
          </w:p>
        </w:tc>
      </w:tr>
      <w:tr>
        <w:tc>
          <w:tcPr>
            <w:tcW w:type="dxa" w:w="6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3</w:t>
            </w:r>
          </w:p>
        </w:tc>
        <w:tc>
          <w:tcPr>
            <w:tcW w:type="dxa" w:w="40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The same by vendor</w:t>
            </w:r>
          </w:p>
        </w:tc>
        <w:tc>
          <w:tcPr>
            <w:tcW w:type="dxa" w:w="4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22 of 30 MacGroup products in this branch are here (73%)</w:t>
            </w:r>
          </w:p>
        </w:tc>
      </w:tr>
      <w:tr>
        <w:tc>
          <w:tcPr>
            <w:tcW w:type="dxa" w:w="6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4</w:t>
            </w:r>
          </w:p>
        </w:tc>
        <w:tc>
          <w:tcPr>
            <w:tcW w:type="dxa" w:w="40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Name match (next package, with AI suggestions)</w:t>
            </w:r>
          </w:p>
        </w:tc>
        <w:tc>
          <w:tcPr>
            <w:tcW w:type="dxa" w:w="468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w:t>
            </w:r>
          </w:p>
        </w:tc>
      </w:tr>
      <w:tr>
        <w:tc>
          <w:tcPr>
            <w:tcW w:type="dxa" w:w="6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5</w:t>
            </w:r>
          </w:p>
        </w:tc>
        <w:tc>
          <w:tcPr>
            <w:tcW w:type="dxa" w:w="40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Nothing else matched: its EGRP category</w:t>
            </w:r>
          </w:p>
        </w:tc>
        <w:tc>
          <w:tcPr>
            <w:tcW w:type="dxa" w:w="468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Its EGRP category (from Computyme)</w:t>
            </w:r>
          </w:p>
        </w:tc>
      </w:tr>
    </w:tbl>
    <w:p>
      <w:pPr>
        <w:spacing w:after="80"/>
      </w:pPr>
    </w:p>
    <w:p>
      <w:pPr>
        <w:pStyle w:val="Heading2"/>
        <w:spacing w:after="100" w:before="220"/>
      </w:pPr>
      <w:r>
        <w:rPr>
          <w:rFonts w:ascii="Arial" w:cs="Arial" w:eastAsia="Arial" w:hAnsi="Arial"/>
          <w:b/>
          <w:bCs/>
          <w:color w:val="141C2B"/>
          <w:sz w:val="24"/>
          <w:szCs w:val="24"/>
        </w:rPr>
        <w:t xml:space="preserve">Preview of the WH page</w:t>
      </w:r>
    </w:p>
    <w:p>
      <w:pPr>
        <w:spacing w:after="120" w:line="276"/>
      </w:pPr>
      <w:r>
        <w:rPr>
          <w:rFonts w:ascii="Arial" w:cs="Arial" w:eastAsia="Arial" w:hAnsi="Arial"/>
          <w:color w:val="141C2B"/>
          <w:sz w:val="21"/>
          <w:szCs w:val="21"/>
        </w:rPr>
        <w:t xml:space="preserve">Under the tree, a live replica of the Categories list on the Connection WH page, built from the draft with the site's own rules: A–Z at every level, hidden categories and categories with no active products left out, ticking a parent selects everything under it.</w:t>
      </w:r>
    </w:p>
    <w:p>
      <w:pPr>
        <w:pStyle w:val="Heading2"/>
        <w:spacing w:after="100" w:before="220"/>
      </w:pPr>
      <w:r>
        <w:rPr>
          <w:rFonts w:ascii="Arial" w:cs="Arial" w:eastAsia="Arial" w:hAnsi="Arial"/>
          <w:b/>
          <w:bCs/>
          <w:color w:val="141C2B"/>
          <w:sz w:val="24"/>
          <w:szCs w:val="24"/>
        </w:rPr>
        <w:t xml:space="preserve">Excel export everywhere</w:t>
      </w:r>
    </w:p>
    <w:p>
      <w:pPr>
        <w:spacing w:after="120" w:line="276"/>
      </w:pPr>
      <w:r>
        <w:rPr>
          <w:rFonts w:ascii="Arial" w:cs="Arial" w:eastAsia="Arial" w:hAnsi="Arial"/>
          <w:color w:val="141C2B"/>
          <w:sz w:val="21"/>
          <w:szCs w:val="21"/>
        </w:rPr>
        <w:t xml:space="preserve">The tree, any product list or queue (every match, not just the page), the publish history, and the detail of any single publish.</w:t>
      </w:r>
    </w:p>
    <w:p>
      <w:pPr>
        <w:pStyle w:val="Heading2"/>
        <w:spacing w:after="100" w:before="220"/>
      </w:pPr>
      <w:r>
        <w:rPr>
          <w:rFonts w:ascii="Arial" w:cs="Arial" w:eastAsia="Arial" w:hAnsi="Arial"/>
          <w:b/>
          <w:bCs/>
          <w:color w:val="141C2B"/>
          <w:sz w:val="24"/>
          <w:szCs w:val="24"/>
        </w:rPr>
        <w:t xml:space="preserve">On the Product Desk</w:t>
      </w:r>
    </w:p>
    <w:p>
      <w:pPr>
        <w:spacing w:after="120" w:line="276"/>
      </w:pPr>
      <w:r>
        <w:rPr>
          <w:rFonts w:ascii="Arial" w:cs="Arial" w:eastAsia="Arial" w:hAnsi="Arial"/>
          <w:color w:val="141C2B"/>
          <w:sz w:val="21"/>
          <w:szCs w:val="21"/>
        </w:rPr>
        <w:t xml:space="preserve">The Categories section becomes a picker: the breadcrumb with its EGRP category marked Computyme, and Change category limited to that EGRP category until cutover. It saves through the same publish, so the change appears in the Category Desk's history and can be reverted there.</w:t>
      </w:r>
    </w:p>
    <w:p>
      <w:pPr>
        <w:pStyle w:val="Heading1"/>
        <w:pBdr>
          <w:bottom w:val="single" w:color="DDE1E7" w:sz="6" w:space="4"/>
        </w:pBdr>
        <w:spacing w:after="140" w:before="320"/>
      </w:pPr>
      <w:r>
        <w:rPr>
          <w:rFonts w:ascii="Arial" w:cs="Arial" w:eastAsia="Arial" w:hAnsi="Arial"/>
          <w:b/>
          <w:bCs/>
          <w:color w:val="0E7C73"/>
          <w:sz w:val="30"/>
          <w:szCs w:val="30"/>
        </w:rPr>
        <w:t xml:space="preserve">4. Market research and AI controls</w:t>
      </w:r>
    </w:p>
    <w:p>
      <w:pPr>
        <w:pStyle w:val="Heading2"/>
        <w:spacing w:after="100" w:before="220"/>
      </w:pPr>
      <w:r>
        <w:rPr>
          <w:rFonts w:ascii="Arial" w:cs="Arial" w:eastAsia="Arial" w:hAnsi="Arial"/>
          <w:b/>
          <w:bCs/>
          <w:color w:val="141C2B"/>
          <w:sz w:val="24"/>
          <w:szCs w:val="24"/>
        </w:rPr>
        <w:t xml:space="preserve">Controls on every AI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Control</w:t>
            </w:r>
          </w:p>
        </w:tc>
        <w:tc>
          <w:tcPr>
            <w:tcW w:type="dxa" w:w="696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How it works</w:t>
            </w:r>
          </w:p>
        </w:tc>
      </w:tr>
      <w:tr>
        <w:tc>
          <w:tcPr>
            <w:tcW w:type="dxa" w:w="24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Permission per feature</w:t>
            </w:r>
          </w:p>
        </w:tc>
        <w:tc>
          <w:tcPr>
            <w:tcW w:type="dxa" w:w="69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AI.MarketResearch, AI.Translate, AI.CategorySuggest, AI.ProductLookup, AI.CompetitorPricing, AI.Forecast, granted in Security Admin. Always enforced.</w:t>
            </w:r>
          </w:p>
        </w:tc>
      </w:tr>
      <w:tr>
        <w:tc>
          <w:tcPr>
            <w:tcW w:type="dxa" w:w="24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On / off</w:t>
            </w:r>
          </w:p>
        </w:tc>
        <w:tc>
          <w:tcPr>
            <w:tcW w:type="dxa" w:w="69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AI:Enabled for everything, and AI:Features:&lt;feature&gt;:Enabled for each one.</w:t>
            </w:r>
          </w:p>
        </w:tc>
      </w:tr>
      <w:tr>
        <w:tc>
          <w:tcPr>
            <w:tcW w:type="dxa" w:w="24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Monthly budget</w:t>
            </w:r>
          </w:p>
        </w:tc>
        <w:tc>
          <w:tcPr>
            <w:tcW w:type="dxa" w:w="69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AI:MonthlyBudgetUsd (default $100). When a call would pass it, buttons stop with "This month's AI budget is used".</w:t>
            </w:r>
          </w:p>
        </w:tc>
      </w:tr>
      <w:tr>
        <w:tc>
          <w:tcPr>
            <w:tcW w:type="dxa" w:w="24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Daily limit per person</w:t>
            </w:r>
          </w:p>
        </w:tc>
        <w:tc>
          <w:tcPr>
            <w:tcW w:type="dxa" w:w="69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AI:Features:&lt;feature&gt;:DailyLimitPerUser (market research 25, translate 100 by default).</w:t>
            </w:r>
          </w:p>
        </w:tc>
      </w:tr>
      <w:tr>
        <w:tc>
          <w:tcPr>
            <w:tcW w:type="dxa" w:w="24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Cost</w:t>
            </w:r>
          </w:p>
        </w:tc>
        <w:tc>
          <w:tcPr>
            <w:tcW w:type="dxa" w:w="69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Shown before asking ("about $0.03 a question"). Perplexity reports the real cost, which is logged; otherwise the estimate is logged and marked as one.</w:t>
            </w:r>
          </w:p>
        </w:tc>
      </w:tr>
      <w:tr>
        <w:tc>
          <w:tcPr>
            <w:tcW w:type="dxa" w:w="24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Usage log</w:t>
            </w:r>
          </w:p>
        </w:tc>
        <w:tc>
          <w:tcPr>
            <w:tcW w:type="dxa" w:w="69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piv2.AiUsageLog: who, when, feature, provider, model, product, items, cost, success or failure, question.</w:t>
            </w:r>
          </w:p>
        </w:tc>
      </w:tr>
      <w:tr>
        <w:tc>
          <w:tcPr>
            <w:tcW w:type="dxa" w:w="24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Usage report</w:t>
            </w:r>
          </w:p>
        </w:tc>
        <w:tc>
          <w:tcPr>
            <w:tcW w:type="dxa" w:w="69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AI.Usage: export every AI call for a month to Excel.</w:t>
            </w:r>
          </w:p>
        </w:tc>
      </w:tr>
    </w:tbl>
    <w:p>
      <w:pPr>
        <w:spacing w:after="80"/>
      </w:pPr>
    </w:p>
    <w:p>
      <w:pPr>
        <w:pStyle w:val="Heading2"/>
        <w:spacing w:after="100" w:before="220"/>
      </w:pPr>
      <w:r>
        <w:rPr>
          <w:rFonts w:ascii="Arial" w:cs="Arial" w:eastAsia="Arial" w:hAnsi="Arial"/>
          <w:b/>
          <w:bCs/>
          <w:color w:val="141C2B"/>
          <w:sz w:val="24"/>
          <w:szCs w:val="24"/>
        </w:rPr>
        <w:t xml:space="preserve">Market research (built now)</w:t>
      </w:r>
    </w:p>
    <w:p>
      <w:pPr>
        <w:pStyle w:val="ListParagraph"/>
        <w:numPr>
          <w:ilvl w:val="0"/>
          <w:numId w:val="2"/>
        </w:numPr>
        <w:spacing w:after="60" w:line="264"/>
      </w:pPr>
      <w:r>
        <w:rPr>
          <w:rFonts w:ascii="Arial" w:cs="Arial" w:eastAsia="Arial" w:hAnsi="Arial"/>
          <w:color w:val="141C2B"/>
          <w:sz w:val="21"/>
          <w:szCs w:val="21"/>
        </w:rPr>
        <w:t xml:space="preserve">A Market research section on the Product Desk with one-click topics (Competitors, Reviews, Street price, Market and what's new) and a box for any question.</w:t>
      </w:r>
    </w:p>
    <w:p>
      <w:pPr>
        <w:pStyle w:val="ListParagraph"/>
        <w:numPr>
          <w:ilvl w:val="0"/>
          <w:numId w:val="2"/>
        </w:numPr>
        <w:spacing w:after="60" w:line="264"/>
      </w:pPr>
      <w:r>
        <w:rPr>
          <w:rFonts w:ascii="Arial" w:cs="Arial" w:eastAsia="Arial" w:hAnsi="Arial"/>
          <w:color w:val="141C2B"/>
          <w:sz w:val="21"/>
          <w:szCs w:val="21"/>
        </w:rPr>
        <w:t xml:space="preserve">The product's brand, model, code, UPC and category go with the question. Answers come back with numbered sources.</w:t>
      </w:r>
    </w:p>
    <w:p>
      <w:pPr>
        <w:pStyle w:val="ListParagraph"/>
        <w:numPr>
          <w:ilvl w:val="0"/>
          <w:numId w:val="2"/>
        </w:numPr>
        <w:spacing w:after="60" w:line="264"/>
      </w:pPr>
      <w:r>
        <w:rPr>
          <w:rFonts w:ascii="Arial" w:cs="Arial" w:eastAsia="Arial" w:hAnsi="Arial"/>
          <w:color w:val="141C2B"/>
          <w:sz w:val="21"/>
          <w:szCs w:val="21"/>
        </w:rPr>
        <w:t xml:space="preserve">Every answer is saved to the product as a dated snapshot in the File Library (S3): the question, who asked, when, the model, the cost, the answer and its sources. They are listed newest first and export to Excel.</w:t>
      </w:r>
    </w:p>
    <w:p>
      <w:pPr>
        <w:pStyle w:val="ListParagraph"/>
        <w:numPr>
          <w:ilvl w:val="0"/>
          <w:numId w:val="2"/>
        </w:numPr>
        <w:spacing w:after="60" w:line="264"/>
      </w:pPr>
      <w:r>
        <w:rPr>
          <w:rFonts w:ascii="Arial" w:cs="Arial" w:eastAsia="Arial" w:hAnsi="Arial"/>
          <w:color w:val="141C2B"/>
          <w:sz w:val="21"/>
          <w:szCs w:val="21"/>
        </w:rPr>
        <w:t xml:space="preserve">Tool: Perplexity's Agent API, which replaced Sonar Chat Completions on September 27, 2026. Every result is stamped with the model that answered, for example "Perplexity Agent (fast) · openai/gpt-5.6-luna".</w:t>
      </w:r>
    </w:p>
    <w:p>
      <w:pPr>
        <w:pStyle w:val="Heading2"/>
        <w:spacing w:after="100" w:before="220"/>
      </w:pPr>
      <w:r>
        <w:rPr>
          <w:rFonts w:ascii="Arial" w:cs="Arial" w:eastAsia="Arial" w:hAnsi="Arial"/>
          <w:b/>
          <w:bCs/>
          <w:color w:val="141C2B"/>
          <w:sz w:val="24"/>
          <w:szCs w:val="24"/>
        </w:rPr>
        <w:t xml:space="preserve">Translate (now behind its permission)</w:t>
      </w:r>
    </w:p>
    <w:p>
      <w:pPr>
        <w:spacing w:after="120" w:line="276"/>
      </w:pPr>
      <w:r>
        <w:rPr>
          <w:rFonts w:ascii="Arial" w:cs="Arial" w:eastAsia="Arial" w:hAnsi="Arial"/>
          <w:color w:val="141C2B"/>
          <w:sz w:val="21"/>
          <w:szCs w:val="21"/>
        </w:rPr>
        <w:t xml:space="preserve">The existing Translate buttons now need AI.Translate, count against the budget and daily limit, and log each translation with its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20C" w:sz="24"/>
              <w:bottom w:val="none" w:color="FFFFFF" w:sz="0"/>
              <w:right w:val="none" w:color="FFFFFF" w:sz="0"/>
            </w:tcBorders>
            <w:shd w:fill="FBF0DD" w:color="auto" w:val="clear"/>
            <w:tcMar>
              <w:top w:type="dxa" w:w="110"/>
              <w:left w:type="dxa" w:w="180"/>
              <w:bottom w:type="dxa" w:w="110"/>
              <w:right w:type="dxa" w:w="180"/>
            </w:tcMar>
          </w:tcPr>
          <w:p>
            <w:pPr>
              <w:spacing w:after="0" w:line="264"/>
            </w:pPr>
            <w:r>
              <w:rPr>
                <w:rFonts w:ascii="Arial" w:cs="Arial" w:eastAsia="Arial" w:hAnsi="Arial"/>
                <w:b/>
                <w:bCs/>
                <w:color w:val="141C2B"/>
                <w:sz w:val="20"/>
                <w:szCs w:val="20"/>
              </w:rPr>
              <w:t xml:space="preserve">Before deploying the API:</w:t>
            </w:r>
            <w:r>
              <w:rPr>
                <w:rFonts w:ascii="Arial" w:cs="Arial" w:eastAsia="Arial" w:hAnsi="Arial"/>
                <w:color w:val="141C2B"/>
                <w:sz w:val="20"/>
                <w:szCs w:val="20"/>
              </w:rPr>
              <w:t xml:space="preserve"> grant AI.Translate to the roles that translate today, or their Translate buttons disappear.</w:t>
            </w:r>
          </w:p>
        </w:tc>
      </w:tr>
    </w:tbl>
    <w:p>
      <w:pPr>
        <w:spacing w:after="80"/>
      </w:pPr>
    </w:p>
    <w:p>
      <w:pPr>
        <w:pStyle w:val="Heading2"/>
        <w:spacing w:after="100" w:before="220"/>
      </w:pPr>
      <w:r>
        <w:rPr>
          <w:rFonts w:ascii="Arial" w:cs="Arial" w:eastAsia="Arial" w:hAnsi="Arial"/>
          <w:b/>
          <w:bCs/>
          <w:color w:val="141C2B"/>
          <w:sz w:val="24"/>
          <w:szCs w:val="24"/>
        </w:rPr>
        <w:t xml:space="preserve">Next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Feature</w:t>
            </w:r>
          </w:p>
        </w:tc>
        <w:tc>
          <w:tcPr>
            <w:tcW w:type="dxa" w:w="26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Tool</w:t>
            </w:r>
          </w:p>
        </w:tc>
        <w:tc>
          <w:tcPr>
            <w:tcW w:type="dxa" w:w="456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Notes</w:t>
            </w:r>
          </w:p>
        </w:tc>
      </w:tr>
      <w:tr>
        <w:tc>
          <w:tcPr>
            <w:tcW w:type="dxa" w:w="22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AI category suggestions</w:t>
            </w:r>
          </w:p>
        </w:tc>
        <w:tc>
          <w:tcPr>
            <w:tcW w:type="dxa" w:w="26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Claude on Bedrock</w:t>
            </w:r>
          </w:p>
        </w:tc>
        <w:tc>
          <w:tcPr>
            <w:tcW w:type="dxa" w:w="45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Picks only categories inside the product's EGRP branch; Uncategorized and Suspect queues</w:t>
            </w:r>
          </w:p>
        </w:tc>
      </w:tr>
      <w:tr>
        <w:tc>
          <w:tcPr>
            <w:tcW w:type="dxa" w:w="22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Product lookup</w:t>
            </w:r>
          </w:p>
        </w:tc>
        <w:tc>
          <w:tcPr>
            <w:tcW w:type="dxa" w:w="26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Perplexity + Claude</w:t>
            </w:r>
          </w:p>
        </w:tc>
        <w:tc>
          <w:tcPr>
            <w:tcW w:type="dxa" w:w="45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Description, images (manufacturer and vendor sources, copied to S3), UPC with source. UPC is Computyme's until cutover</w:t>
            </w:r>
          </w:p>
        </w:tc>
      </w:tr>
      <w:tr>
        <w:tc>
          <w:tcPr>
            <w:tcW w:type="dxa" w:w="22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Competitor pricing</w:t>
            </w:r>
          </w:p>
        </w:tc>
        <w:tc>
          <w:tcPr>
            <w:tcW w:type="dxa" w:w="26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DataForSEO Google Shopping</w:t>
            </w:r>
          </w:p>
        </w:tc>
        <w:tc>
          <w:tcPr>
            <w:tcW w:type="dxa" w:w="45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Real retailer listings; shown, not saved to the product</w:t>
            </w:r>
          </w:p>
        </w:tc>
      </w:tr>
      <w:tr>
        <w:tc>
          <w:tcPr>
            <w:tcW w:type="dxa" w:w="22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Forecast</w:t>
            </w:r>
          </w:p>
        </w:tc>
        <w:tc>
          <w:tcPr>
            <w:tcW w:type="dxa" w:w="26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Chronos in the Python service, Claude for the summary</w:t>
            </w:r>
          </w:p>
        </w:tc>
        <w:tc>
          <w:tcPr>
            <w:tcW w:type="dxa" w:w="45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Monthly units by country; 3, 6 or 12 months; likely number and low–high range; every run saved to piv2.ProductForecast and compared with actual sales</w:t>
            </w:r>
          </w:p>
        </w:tc>
      </w:tr>
    </w:tbl>
    <w:p>
      <w:pPr>
        <w:spacing w:after="80"/>
      </w:pPr>
    </w:p>
    <w:p>
      <w:pPr>
        <w:pStyle w:val="Heading1"/>
        <w:pBdr>
          <w:bottom w:val="single" w:color="DDE1E7" w:sz="6" w:space="4"/>
        </w:pBdr>
        <w:spacing w:after="140" w:before="320"/>
      </w:pPr>
      <w:r>
        <w:rPr>
          <w:rFonts w:ascii="Arial" w:cs="Arial" w:eastAsia="Arial" w:hAnsi="Arial"/>
          <w:b/>
          <w:bCs/>
          <w:color w:val="0E7C73"/>
          <w:sz w:val="30"/>
          <w:szCs w:val="30"/>
        </w:rPr>
        <w:t xml:space="preserve">5. Data</w:t>
      </w:r>
    </w:p>
    <w:p>
      <w:pPr>
        <w:spacing w:after="120" w:line="276"/>
      </w:pPr>
      <w:r>
        <w:rPr>
          <w:rFonts w:ascii="Arial" w:cs="Arial" w:eastAsia="Arial" w:hAnsi="Arial"/>
          <w:color w:val="141C2B"/>
          <w:sz w:val="21"/>
          <w:szCs w:val="21"/>
        </w:rPr>
        <w:t xml:space="preserve">Category and ProductData are reused. The Connection site keeps reading them exactly as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Object</w:t>
            </w:r>
          </w:p>
        </w:tc>
        <w:tc>
          <w:tcPr>
            <w:tcW w:type="dxa" w:w="636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Purpose</w:t>
            </w:r>
          </w:p>
        </w:tc>
      </w:tr>
      <w:tr>
        <w:tc>
          <w:tcPr>
            <w:tcW w:type="dxa" w:w="3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dbo.Category.Notes</w:t>
            </w:r>
          </w:p>
        </w:tc>
        <w:tc>
          <w:tcPr>
            <w:tcW w:type="dxa" w:w="63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Internal note on a category (new nullable column)</w:t>
            </w:r>
          </w:p>
        </w:tc>
      </w:tr>
      <w:tr>
        <w:tc>
          <w:tcPr>
            <w:tcW w:type="dxa" w:w="3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piv2.CategoryChangeLog</w:t>
            </w:r>
          </w:p>
        </w:tc>
        <w:tc>
          <w:tcPr>
            <w:tcW w:type="dxa" w:w="63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One row per item per publish, before and after; history and revert</w:t>
            </w:r>
          </w:p>
        </w:tc>
      </w:tr>
      <w:tr>
        <w:tc>
          <w:tcPr>
            <w:tcW w:type="dxa" w:w="3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piv2.AiUsageLog</w:t>
            </w:r>
          </w:p>
        </w:tc>
        <w:tc>
          <w:tcPr>
            <w:tcW w:type="dxa" w:w="63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Every AI call; budget, limits, model, cost; index of saved research</w:t>
            </w:r>
          </w:p>
        </w:tc>
      </w:tr>
      <w:tr>
        <w:tc>
          <w:tcPr>
            <w:tcW w:type="dxa" w:w="3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piv2.CategoryPublishSeq</w:t>
            </w:r>
          </w:p>
        </w:tc>
        <w:tc>
          <w:tcPr>
            <w:tcW w:type="dxa" w:w="63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Publish numbers (a sequence, not a table)</w:t>
            </w:r>
          </w:p>
        </w:tc>
      </w:tr>
      <w:tr>
        <w:tc>
          <w:tcPr>
            <w:tcW w:type="dxa" w:w="30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Views and procedures</w:t>
            </w:r>
          </w:p>
        </w:tc>
        <w:tc>
          <w:tcPr>
            <w:tcW w:type="dxa" w:w="63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piv2.vProductEgrp (a product's EGRP, the one line to change at cutover), piv2.vCategoryTree, piv2.vCategoryProduct, piv2.CategoryDesk_*, piv2.Ai_*</w:t>
            </w:r>
          </w:p>
        </w:tc>
      </w:tr>
    </w:tbl>
    <w:p>
      <w:pPr>
        <w:spacing w:after="80"/>
      </w:pPr>
    </w:p>
    <w:p>
      <w:pPr>
        <w:pStyle w:val="Heading2"/>
        <w:spacing w:after="100" w:before="220"/>
      </w:pPr>
      <w:r>
        <w:rPr>
          <w:rFonts w:ascii="Arial" w:cs="Arial" w:eastAsia="Arial" w:hAnsi="Arial"/>
          <w:b/>
          <w:bCs/>
          <w:color w:val="141C2B"/>
          <w:sz w:val="24"/>
          <w:szCs w:val="24"/>
        </w:rPr>
        <w:t xml:space="preserve">How a product's placement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Product sits at</w:t>
            </w:r>
          </w:p>
        </w:tc>
        <w:tc>
          <w:tcPr>
            <w:tcW w:type="dxa" w:w="20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TopCatId</w:t>
            </w:r>
          </w:p>
        </w:tc>
        <w:tc>
          <w:tcPr>
            <w:tcW w:type="dxa" w:w="20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CatId</w:t>
            </w:r>
          </w:p>
        </w:tc>
        <w:tc>
          <w:tcPr>
            <w:tcW w:type="dxa" w:w="20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SubCatId</w:t>
            </w:r>
          </w:p>
        </w:tc>
      </w:tr>
      <w:tr>
        <w:tc>
          <w:tcPr>
            <w:tcW w:type="dxa" w:w="33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Level 1</w:t>
            </w:r>
          </w:p>
        </w:tc>
        <w:tc>
          <w:tcPr>
            <w:tcW w:type="dxa" w:w="20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node</w:t>
            </w:r>
          </w:p>
        </w:tc>
        <w:tc>
          <w:tcPr>
            <w:tcW w:type="dxa" w:w="20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node</w:t>
            </w:r>
          </w:p>
        </w:tc>
        <w:tc>
          <w:tcPr>
            <w:tcW w:type="dxa" w:w="20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NULL</w:t>
            </w:r>
          </w:p>
        </w:tc>
      </w:tr>
      <w:tr>
        <w:tc>
          <w:tcPr>
            <w:tcW w:type="dxa" w:w="33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Level 2</w:t>
            </w:r>
          </w:p>
        </w:tc>
        <w:tc>
          <w:tcPr>
            <w:tcW w:type="dxa" w:w="20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top</w:t>
            </w:r>
          </w:p>
        </w:tc>
        <w:tc>
          <w:tcPr>
            <w:tcW w:type="dxa" w:w="20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node</w:t>
            </w:r>
          </w:p>
        </w:tc>
        <w:tc>
          <w:tcPr>
            <w:tcW w:type="dxa" w:w="20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NULL</w:t>
            </w:r>
          </w:p>
        </w:tc>
      </w:tr>
      <w:tr>
        <w:tc>
          <w:tcPr>
            <w:tcW w:type="dxa" w:w="33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Level 3 and deeper</w:t>
            </w:r>
          </w:p>
        </w:tc>
        <w:tc>
          <w:tcPr>
            <w:tcW w:type="dxa" w:w="20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top</w:t>
            </w:r>
          </w:p>
        </w:tc>
        <w:tc>
          <w:tcPr>
            <w:tcW w:type="dxa" w:w="20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level 2</w:t>
            </w:r>
          </w:p>
        </w:tc>
        <w:tc>
          <w:tcPr>
            <w:tcW w:type="dxa" w:w="200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node</w:t>
            </w:r>
          </w:p>
        </w:tc>
      </w:tr>
      <w:tr>
        <w:tc>
          <w:tcPr>
            <w:tcW w:type="dxa" w:w="33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No category</w:t>
            </w:r>
          </w:p>
        </w:tc>
        <w:tc>
          <w:tcPr>
            <w:tcW w:type="dxa" w:w="20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NULL</w:t>
            </w:r>
          </w:p>
        </w:tc>
        <w:tc>
          <w:tcPr>
            <w:tcW w:type="dxa" w:w="20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0</w:t>
            </w:r>
          </w:p>
        </w:tc>
        <w:tc>
          <w:tcPr>
            <w:tcW w:type="dxa" w:w="200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NULL</w:t>
            </w:r>
          </w:p>
        </w:tc>
      </w:tr>
    </w:tbl>
    <w:p>
      <w:pPr>
        <w:spacing w:after="80"/>
      </w:pPr>
    </w:p>
    <w:p>
      <w:pPr>
        <w:spacing w:after="120" w:line="276"/>
      </w:pPr>
      <w:r>
        <w:rPr>
          <w:rFonts w:ascii="Arial" w:cs="Arial" w:eastAsia="Arial" w:hAnsi="Arial"/>
          <w:color w:val="141C2B"/>
          <w:sz w:val="21"/>
          <w:szCs w:val="21"/>
        </w:rPr>
        <w:t xml:space="preserve">Moving a category recalculates these for every product under it. Show/hide writes IsActive and IsPublic together, so the WH page honours it whichever flag it reads. ProConsumer, SalesCopy, TemplateId, Type and ImageName are no longer written; the columns stay because Connection maps them.</w:t>
      </w:r>
    </w:p>
    <w:p>
      <w:pPr>
        <w:pStyle w:val="Heading1"/>
        <w:pBdr>
          <w:bottom w:val="single" w:color="DDE1E7" w:sz="6" w:space="4"/>
        </w:pBdr>
        <w:spacing w:after="140" w:before="320"/>
      </w:pPr>
      <w:r>
        <w:rPr>
          <w:rFonts w:ascii="Arial" w:cs="Arial" w:eastAsia="Arial" w:hAnsi="Arial"/>
          <w:b/>
          <w:bCs/>
          <w:color w:val="0E7C73"/>
          <w:sz w:val="30"/>
          <w:szCs w:val="30"/>
        </w:rPr>
        <w:t xml:space="preserve">6.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Permission</w:t>
            </w:r>
          </w:p>
        </w:tc>
        <w:tc>
          <w:tcPr>
            <w:tcW w:type="dxa" w:w="5760"/>
            <w:tcBorders>
              <w:top w:val="single" w:color="DDE1E7" w:sz="4"/>
              <w:left w:val="single" w:color="DDE1E7" w:sz="4"/>
              <w:bottom w:val="single" w:color="DDE1E7" w:sz="4"/>
              <w:right w:val="single" w:color="DDE1E7" w:sz="4"/>
            </w:tcBorders>
            <w:shd w:fill="0E7C73"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Allows</w:t>
            </w:r>
          </w:p>
        </w:tc>
      </w:tr>
      <w:tr>
        <w:tc>
          <w:tcPr>
            <w:tcW w:type="dxa" w:w="36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Categories.View</w:t>
            </w:r>
          </w:p>
        </w:tc>
        <w:tc>
          <w:tcPr>
            <w:tcW w:type="dxa" w:w="57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Open the Category Desk: tree, products, queues, history, preview, exports</w:t>
            </w:r>
          </w:p>
        </w:tc>
      </w:tr>
      <w:tr>
        <w:tc>
          <w:tcPr>
            <w:tcW w:type="dxa" w:w="36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Categories.Edit</w:t>
            </w:r>
          </w:p>
        </w:tc>
        <w:tc>
          <w:tcPr>
            <w:tcW w:type="dxa" w:w="57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Draft, publish and revert; change a product's category on the Product Desk</w:t>
            </w:r>
          </w:p>
        </w:tc>
      </w:tr>
      <w:tr>
        <w:tc>
          <w:tcPr>
            <w:tcW w:type="dxa" w:w="36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AI.MarketResearch</w:t>
            </w:r>
          </w:p>
        </w:tc>
        <w:tc>
          <w:tcPr>
            <w:tcW w:type="dxa" w:w="57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Ask and read market research on a product</w:t>
            </w:r>
          </w:p>
        </w:tc>
      </w:tr>
      <w:tr>
        <w:tc>
          <w:tcPr>
            <w:tcW w:type="dxa" w:w="36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AI.Translate</w:t>
            </w:r>
          </w:p>
        </w:tc>
        <w:tc>
          <w:tcPr>
            <w:tcW w:type="dxa" w:w="57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Translate product content</w:t>
            </w:r>
          </w:p>
        </w:tc>
      </w:tr>
      <w:tr>
        <w:tc>
          <w:tcPr>
            <w:tcW w:type="dxa" w:w="36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AI.Usage</w:t>
            </w:r>
          </w:p>
        </w:tc>
        <w:tc>
          <w:tcPr>
            <w:tcW w:type="dxa" w:w="5760"/>
            <w:tcBorders>
              <w:top w:val="single" w:color="DDE1E7" w:sz="4"/>
              <w:left w:val="single" w:color="DDE1E7" w:sz="4"/>
              <w:bottom w:val="single" w:color="DDE1E7" w:sz="4"/>
              <w:right w:val="single" w:color="DDE1E7" w:sz="4"/>
            </w:tcBorders>
            <w:tcMar>
              <w:top w:type="dxa" w:w="70"/>
              <w:left w:type="dxa" w:w="110"/>
              <w:bottom w:type="dxa" w:w="70"/>
              <w:right w:type="dxa" w:w="110"/>
            </w:tcMar>
          </w:tcPr>
          <w:p>
            <w:pPr>
              <w:spacing w:after="30" w:line="252"/>
            </w:pPr>
            <w:r>
              <w:rPr>
                <w:rFonts w:ascii="Arial" w:cs="Arial" w:eastAsia="Arial" w:hAnsi="Arial"/>
                <w:color w:val="141C2B"/>
                <w:sz w:val="19"/>
                <w:szCs w:val="19"/>
              </w:rPr>
              <w:t xml:space="preserve">AI usage and cost report</w:t>
            </w:r>
          </w:p>
        </w:tc>
      </w:tr>
      <w:tr>
        <w:tc>
          <w:tcPr>
            <w:tcW w:type="dxa" w:w="3600"/>
            <w:tcBorders>
              <w:top w:val="single" w:color="DDE1E7" w:sz="4"/>
              <w:left w:val="single" w:color="DDE1E7" w:sz="4"/>
              <w:bottom w:val="single" w:color="DDE1E7" w:sz="4"/>
              <w:right w:val="single" w:color="DDE1E7" w:sz="4"/>
            </w:tcBorders>
            <w:shd w:fill="E2F2F0"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AI.CategorySuggest, AI.ProductLookup, AI.CompetitorPricing, AI.Forecast</w:t>
            </w:r>
          </w:p>
        </w:tc>
        <w:tc>
          <w:tcPr>
            <w:tcW w:type="dxa" w:w="5760"/>
            <w:tcBorders>
              <w:top w:val="single" w:color="DDE1E7" w:sz="4"/>
              <w:left w:val="single" w:color="DDE1E7" w:sz="4"/>
              <w:bottom w:val="single" w:color="DDE1E7" w:sz="4"/>
              <w:right w:val="single" w:color="DDE1E7" w:sz="4"/>
            </w:tcBorders>
            <w:shd w:fill="F7F8FA" w:color="auto" w:val="clear"/>
            <w:tcMar>
              <w:top w:type="dxa" w:w="70"/>
              <w:left w:type="dxa" w:w="110"/>
              <w:bottom w:type="dxa" w:w="70"/>
              <w:right w:type="dxa" w:w="110"/>
            </w:tcMar>
          </w:tcPr>
          <w:p>
            <w:pPr>
              <w:spacing w:after="30" w:line="252"/>
            </w:pPr>
            <w:r>
              <w:rPr>
                <w:rFonts w:ascii="Arial" w:cs="Arial" w:eastAsia="Arial" w:hAnsi="Arial"/>
                <w:color w:val="141C2B"/>
                <w:sz w:val="19"/>
                <w:szCs w:val="19"/>
              </w:rPr>
              <w:t xml:space="preserve">Created now so roles can be set up; used by the next package</w:t>
            </w:r>
          </w:p>
        </w:tc>
      </w:tr>
    </w:tbl>
    <w:p>
      <w:pPr>
        <w:pStyle w:val="Heading1"/>
        <w:pBdr>
          <w:bottom w:val="single" w:color="DDE1E7" w:sz="6" w:space="4"/>
        </w:pBdr>
        <w:spacing w:after="140" w:before="320"/>
      </w:pPr>
      <w:r>
        <w:rPr>
          <w:rFonts w:ascii="Arial" w:cs="Arial" w:eastAsia="Arial" w:hAnsi="Arial"/>
          <w:b/>
          <w:bCs/>
          <w:color w:val="0E7C73"/>
          <w:sz w:val="30"/>
          <w:szCs w:val="30"/>
        </w:rPr>
        <w:t xml:space="preserve">7. Deploy, in order</w:t>
      </w:r>
    </w:p>
    <w:p>
      <w:pPr>
        <w:pStyle w:val="ListParagraph"/>
        <w:numPr>
          <w:ilvl w:val="0"/>
          <w:numId w:val="3"/>
        </w:numPr>
        <w:spacing w:after="80" w:line="264"/>
      </w:pPr>
      <w:r>
        <w:rPr>
          <w:rFonts w:ascii="Arial" w:cs="Arial" w:eastAsia="Arial" w:hAnsi="Arial"/>
          <w:color w:val="141C2B"/>
          <w:sz w:val="21"/>
          <w:szCs w:val="21"/>
        </w:rPr>
        <w:t xml:space="preserve">Run 01 to 05 in PRO (00 is read-only). Names were confirmed against PRO on October 21.</w:t>
      </w:r>
    </w:p>
    <w:p>
      <w:pPr>
        <w:pStyle w:val="ListParagraph"/>
        <w:numPr>
          <w:ilvl w:val="0"/>
          <w:numId w:val="3"/>
        </w:numPr>
        <w:spacing w:after="80" w:line="264"/>
      </w:pPr>
      <w:r>
        <w:rPr>
          <w:rFonts w:ascii="Arial" w:cs="Arial" w:eastAsia="Arial" w:hAnsi="Arial"/>
          <w:color w:val="141C2B"/>
          <w:sz w:val="21"/>
          <w:szCs w:val="21"/>
        </w:rPr>
        <w:t xml:space="preserve">In Security Admin, grant AI.Translate to the roles that translate today, then Categories.View, Categories.Edit and the AI permissions to the right roles.</w:t>
      </w:r>
    </w:p>
    <w:p>
      <w:pPr>
        <w:pStyle w:val="ListParagraph"/>
        <w:numPr>
          <w:ilvl w:val="0"/>
          <w:numId w:val="3"/>
        </w:numPr>
        <w:spacing w:after="80" w:line="264"/>
      </w:pPr>
      <w:r>
        <w:rPr>
          <w:rFonts w:ascii="Arial" w:cs="Arial" w:eastAsia="Arial" w:hAnsi="Arial"/>
          <w:color w:val="141C2B"/>
          <w:sz w:val="21"/>
          <w:szCs w:val="21"/>
        </w:rPr>
        <w:t xml:space="preserve">Add the AI and Perplexity sections to appsettings (the Perplexity key in Secrets Manager).</w:t>
      </w:r>
    </w:p>
    <w:p>
      <w:pPr>
        <w:pStyle w:val="ListParagraph"/>
        <w:numPr>
          <w:ilvl w:val="0"/>
          <w:numId w:val="3"/>
        </w:numPr>
        <w:spacing w:after="80" w:line="264"/>
      </w:pPr>
      <w:r>
        <w:rPr>
          <w:rFonts w:ascii="Arial" w:cs="Arial" w:eastAsia="Arial" w:hAnsi="Arial"/>
          <w:color w:val="141C2B"/>
          <w:sz w:val="21"/>
          <w:szCs w:val="21"/>
        </w:rPr>
        <w:t xml:space="preserve">Apply the API patch and new files, deploy the API.</w:t>
      </w:r>
    </w:p>
    <w:p>
      <w:pPr>
        <w:pStyle w:val="ListParagraph"/>
        <w:numPr>
          <w:ilvl w:val="0"/>
          <w:numId w:val="3"/>
        </w:numPr>
        <w:spacing w:after="80" w:line="264"/>
      </w:pPr>
      <w:r>
        <w:rPr>
          <w:rFonts w:ascii="Arial" w:cs="Arial" w:eastAsia="Arial" w:hAnsi="Arial"/>
          <w:color w:val="141C2B"/>
          <w:sz w:val="21"/>
          <w:szCs w:val="21"/>
        </w:rPr>
        <w:t xml:space="preserve">Apply the client patch and new files, deploy the client.</w:t>
      </w:r>
    </w:p>
    <w:p>
      <w:pPr>
        <w:pStyle w:val="ListParagraph"/>
        <w:numPr>
          <w:ilvl w:val="0"/>
          <w:numId w:val="3"/>
        </w:numPr>
        <w:spacing w:after="80" w:line="264"/>
      </w:pPr>
      <w:r>
        <w:rPr>
          <w:rFonts w:ascii="Arial" w:cs="Arial" w:eastAsia="Arial" w:hAnsi="Arial"/>
          <w:color w:val="141C2B"/>
          <w:sz w:val="21"/>
          <w:szCs w:val="21"/>
        </w:rPr>
        <w:t xml:space="preserve">Remove the legacy ProdCat and NewCats screens from the old ProInternal menu so the tree has one editor.</w:t>
      </w:r>
    </w:p>
    <w:p>
      <w:pPr>
        <w:pStyle w:val="Heading1"/>
        <w:pBdr>
          <w:bottom w:val="single" w:color="DDE1E7" w:sz="6" w:space="4"/>
        </w:pBdr>
        <w:spacing w:after="140" w:before="320"/>
      </w:pPr>
      <w:r>
        <w:rPr>
          <w:rFonts w:ascii="Arial" w:cs="Arial" w:eastAsia="Arial" w:hAnsi="Arial"/>
          <w:b/>
          <w:bCs/>
          <w:color w:val="0E7C73"/>
          <w:sz w:val="30"/>
          <w:szCs w:val="30"/>
        </w:rPr>
        <w:t xml:space="preserve">8. Open items</w:t>
      </w:r>
    </w:p>
    <w:p>
      <w:pPr>
        <w:pStyle w:val="ListParagraph"/>
        <w:numPr>
          <w:ilvl w:val="0"/>
          <w:numId w:val="2"/>
        </w:numPr>
        <w:spacing w:after="60" w:line="264"/>
      </w:pPr>
      <w:r>
        <w:rPr>
          <w:rFonts w:ascii="Arial" w:cs="Arial" w:eastAsia="Arial" w:hAnsi="Arial"/>
          <w:color w:val="141C2B"/>
          <w:sz w:val="21"/>
          <w:szCs w:val="21"/>
        </w:rPr>
        <w:t xml:space="preserve">Results of category-discovery.sql: which ProductData columns Warehouse_Search_FIX matches (the placement rule above assumes any of the three), which flag Shop_GetActiveCategories reads, and everything else that reads Category.</w:t>
      </w:r>
    </w:p>
    <w:p>
      <w:pPr>
        <w:pStyle w:val="ListParagraph"/>
        <w:numPr>
          <w:ilvl w:val="0"/>
          <w:numId w:val="2"/>
        </w:numPr>
        <w:spacing w:after="60" w:line="264"/>
      </w:pPr>
      <w:r>
        <w:rPr>
          <w:rFonts w:ascii="Arial" w:cs="Arial" w:eastAsia="Arial" w:hAnsi="Arial"/>
          <w:color w:val="141C2B"/>
          <w:sz w:val="21"/>
          <w:szCs w:val="21"/>
        </w:rPr>
        <w:t xml:space="preserve">Whether Shop_GetActiveCategories already leaves out empty categories. If not, a one-line change to that procedure does it; the preview already shows the result.</w:t>
      </w:r>
    </w:p>
    <w:p>
      <w:pPr>
        <w:pStyle w:val="ListParagraph"/>
        <w:numPr>
          <w:ilvl w:val="0"/>
          <w:numId w:val="2"/>
        </w:numPr>
        <w:spacing w:after="60" w:line="264"/>
      </w:pPr>
      <w:r>
        <w:rPr>
          <w:rFonts w:ascii="Arial" w:cs="Arial" w:eastAsia="Arial" w:hAnsi="Arial"/>
          <w:color w:val="141C2B"/>
          <w:sz w:val="21"/>
          <w:szCs w:val="21"/>
        </w:rPr>
        <w:t xml:space="preserve">Whether Warehouse_Search_FIX drops products in hidden categories, as decided.</w:t>
      </w:r>
    </w:p>
    <w:p>
      <w:pPr>
        <w:pStyle w:val="ListParagraph"/>
        <w:numPr>
          <w:ilvl w:val="0"/>
          <w:numId w:val="2"/>
        </w:numPr>
        <w:spacing w:after="60" w:line="264"/>
      </w:pPr>
      <w:r>
        <w:rPr>
          <w:rFonts w:ascii="Arial" w:cs="Arial" w:eastAsia="Arial" w:hAnsi="Arial"/>
          <w:color w:val="141C2B"/>
          <w:sz w:val="21"/>
          <w:szCs w:val="21"/>
        </w:rPr>
        <w:t xml:space="preserve">The SQL was reviewed line by line but not run; no SQL Server was available where it was built. The client and API compile.</w:t>
      </w: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B6472"/>
        <w:sz w:val="16"/>
        <w:szCs w:val="16"/>
      </w:rPr>
      <w:t xml:space="preserve">Category Desk and Product AI · PRO Systems</w:t>
    </w:r>
    <w:r>
      <w:rPr>
        <w:rFonts w:ascii="Arial" w:cs="Arial" w:eastAsia="Arial" w:hAnsi="Arial"/>
        <w:color w:val="5B6472"/>
        <w:sz w:val="16"/>
        <w:szCs w:val="16"/>
      </w:rPr>
      <w:t xml:space="preserve">	Page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Category Desk and Product AI</dc:title>
  <dc:creator>Mark</dc:creator>
  <cp:lastModifiedBy>Un-named</cp:lastModifiedBy>
  <cp:revision>1</cp:revision>
  <dcterms:created xsi:type="dcterms:W3CDTF">2026-10-21T18:29:21.626Z</dcterms:created>
  <dcterms:modified xsi:type="dcterms:W3CDTF">2026-10-21T18:29:21.626Z</dcterms:modified>
</cp:coreProperties>
</file>

<file path=docProps/custom.xml><?xml version="1.0" encoding="utf-8"?>
<Properties xmlns="http://schemas.openxmlformats.org/officeDocument/2006/custom-properties" xmlns:vt="http://schemas.openxmlformats.org/officeDocument/2006/docPropsVTypes"/>
</file>