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ap-style-homicide-cluster-analyzer"/>
    <w:p>
      <w:pPr>
        <w:pStyle w:val="Heading1"/>
      </w:pPr>
      <w:r>
        <w:t xml:space="preserve">MAP-Style Homicide Cluster Analyzer</w:t>
      </w:r>
    </w:p>
    <w:p>
      <w:pPr>
        <w:pStyle w:val="FirstParagraph"/>
      </w:pPr>
      <w:r>
        <w:rPr>
          <w:b/>
          <w:bCs/>
        </w:rPr>
        <w:t xml:space="preserve">A concise, field‑ready guide for law‑enforcement analysts</w:t>
      </w:r>
    </w:p>
    <w:p>
      <w:pPr>
        <w:pStyle w:val="BodyText"/>
      </w:pPr>
      <w:r>
        <w:t xml:space="preserve">This README explains what the tool does, how to run it, and how to interpret the results when screening homicide data for low‑clearance clusters. It assumes a single script named</w:t>
      </w:r>
      <w:r>
        <w:t xml:space="preserve"> </w:t>
      </w:r>
      <w:r>
        <w:rPr>
          <w:rStyle w:val="VerbatimChar"/>
        </w:rPr>
        <w:t xml:space="preserve">map_cluster.py</w:t>
      </w:r>
      <w:r>
        <w:t xml:space="preserve"> </w:t>
      </w:r>
      <w:r>
        <w:t xml:space="preserve">(the one we’ve been iterating on).</w:t>
      </w:r>
    </w:p>
    <w:p>
      <w:r>
        <w:pict>
          <v:rect style="width:0;height:1.5pt" o:hralign="center" o:hrstd="t" o:hr="t"/>
        </w:pict>
      </w:r>
    </w:p>
    <w:bookmarkStart w:id="20" w:name="what-this-tool-does-in-plain-terms"/>
    <w:p>
      <w:pPr>
        <w:pStyle w:val="Heading2"/>
      </w:pPr>
      <w:r>
        <w:t xml:space="preserve">1) What this tool does (in plain terms)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Rapidly surface</w:t>
      </w:r>
      <w:r>
        <w:t xml:space="preserve"> </w:t>
      </w:r>
      <w:r>
        <w:rPr>
          <w:i/>
          <w:iCs/>
        </w:rPr>
        <w:t xml:space="preserve">where and how</w:t>
      </w:r>
      <w:r>
        <w:t xml:space="preserve"> </w:t>
      </w:r>
      <w:r>
        <w:t xml:space="preserve">homicides go unsolved in your jurisdiction(s), so command staff can direct investigative reviews, quality‑assurance (QA) checks, and targeted interventions.</w:t>
      </w:r>
    </w:p>
    <w:p>
      <w:pPr>
        <w:pStyle w:val="BodyText"/>
      </w:pPr>
      <w:r>
        <w:rPr>
          <w:b/>
          <w:bCs/>
        </w:rPr>
        <w:t xml:space="preserve">Method (MAP‑style, adapted):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Recodes</w:t>
      </w:r>
      <w:r>
        <w:rPr>
          <w:b/>
          <w:bCs/>
        </w:rPr>
        <w:t xml:space="preserve"> </w:t>
      </w:r>
      <w:r>
        <w:rPr>
          <w:b/>
          <w:bCs/>
        </w:rPr>
        <w:t xml:space="preserve">“solved”</w:t>
      </w:r>
      <w:r>
        <w:t xml:space="preserve"> </w:t>
      </w:r>
      <w:r>
        <w:t xml:space="preserve">from your data (default: use the dataset’s own</w:t>
      </w:r>
      <w:r>
        <w:t xml:space="preserve"> </w:t>
      </w:r>
      <w:r>
        <w:rPr>
          <w:rStyle w:val="VerbatimChar"/>
        </w:rPr>
        <w:t xml:space="preserve">Solved</w:t>
      </w:r>
      <w:r>
        <w:t xml:space="preserve"> </w:t>
      </w:r>
      <w:r>
        <w:t xml:space="preserve">field; the old Offender‑Sex proxy is still available but discouraged).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Derives victim‑sex code</w:t>
      </w:r>
      <w:r>
        <w:t xml:space="preserve"> </w:t>
      </w:r>
      <w:r>
        <w:t xml:space="preserve">(1=Male, 2=Female, 9=Unknown) and creates</w:t>
      </w:r>
      <w:r>
        <w:t xml:space="preserve"> </w:t>
      </w:r>
      <w:r>
        <w:rPr>
          <w:b/>
          <w:bCs/>
        </w:rPr>
        <w:t xml:space="preserve">cluster IDs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County view</w:t>
      </w:r>
      <w:r>
        <w:t xml:space="preserve"> </w:t>
      </w:r>
      <w:r>
        <w:t xml:space="preserve">(MURDGRP1) = County + Victim‑Sex + Weapon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MSA view</w:t>
      </w:r>
      <w:r>
        <w:t xml:space="preserve"> </w:t>
      </w:r>
      <w:r>
        <w:t xml:space="preserve">(MURDGRP2) = MSA + Victim‑Sex + Weapon</w:t>
      </w:r>
      <w:r>
        <w:t xml:space="preserve"> </w:t>
      </w:r>
      <w:r>
        <w:t xml:space="preserve">- If county/MSA is text, a</w:t>
      </w:r>
      <w:r>
        <w:t xml:space="preserve"> </w:t>
      </w:r>
      <w:r>
        <w:rPr>
          <w:b/>
          <w:bCs/>
        </w:rPr>
        <w:t xml:space="preserve">stable hash fallback</w:t>
      </w:r>
      <w:r>
        <w:t xml:space="preserve"> </w:t>
      </w:r>
      <w:r>
        <w:t xml:space="preserve">is used so groups don’t collapse.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Aggregates</w:t>
      </w:r>
      <w:r>
        <w:t xml:space="preserve"> </w:t>
      </w:r>
      <w:r>
        <w:t xml:space="preserve">cases per cluster: TOTAL, SOLVED, PERCENT cleared, and UNSOLVED.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Optional filters</w:t>
      </w:r>
      <w:r>
        <w:t xml:space="preserve">: female/male/all; clearance threshold; minimum support; decade slicing; metadata completeness stats for</w:t>
      </w:r>
      <w:r>
        <w:t xml:space="preserve"> </w:t>
      </w:r>
      <w:r>
        <w:rPr>
          <w:b/>
          <w:bCs/>
        </w:rPr>
        <w:t xml:space="preserve">Relationship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Circumstance</w:t>
      </w:r>
      <w:r>
        <w:t xml:space="preserve">.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Outputs</w:t>
      </w:r>
      <w:r>
        <w:t xml:space="preserve"> </w:t>
      </w:r>
      <w:r>
        <w:t xml:space="preserve">ranked CSVs and a console preview.</w:t>
      </w:r>
    </w:p>
    <w:p>
      <w:pPr>
        <w:pStyle w:val="BodyText"/>
      </w:pPr>
      <w:r>
        <w:rPr>
          <w:b/>
          <w:bCs/>
        </w:rPr>
        <w:t xml:space="preserve">Key idea:</w:t>
      </w:r>
      <w:r>
        <w:t xml:space="preserve"> </w:t>
      </w:r>
      <w:r>
        <w:t xml:space="preserve">Two recurring</w:t>
      </w:r>
      <w:r>
        <w:t xml:space="preserve"> </w:t>
      </w:r>
      <w:r>
        <w:t xml:space="preserve">“low‑clearance”</w:t>
      </w:r>
      <w:r>
        <w:t xml:space="preserve"> </w:t>
      </w:r>
      <w:r>
        <w:t xml:space="preserve">archetypes usually appear: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Method‑driven</w:t>
      </w:r>
      <w:r>
        <w:t xml:space="preserve"> </w:t>
      </w:r>
      <w:r>
        <w:t xml:space="preserve">(e.g., strangulation/hanging).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Data‑gap–driven</w:t>
      </w:r>
      <w:r>
        <w:t xml:space="preserve"> </w:t>
      </w:r>
      <w:r>
        <w:t xml:space="preserve">(e.g.,</w:t>
      </w:r>
      <w:r>
        <w:t xml:space="preserve"> </w:t>
      </w:r>
      <w:r>
        <w:t xml:space="preserve">“Firearm, type not stated”</w:t>
      </w:r>
      <w:r>
        <w:t xml:space="preserve">,</w:t>
      </w:r>
      <w:r>
        <w:t xml:space="preserve"> </w:t>
      </w:r>
      <w:r>
        <w:t xml:space="preserve">“Other/unknown”</w:t>
      </w:r>
      <w:r>
        <w:t xml:space="preserve"> </w:t>
      </w:r>
      <w:r>
        <w:t xml:space="preserve">weapon) where metadata holes travel with low clearance.</w:t>
      </w:r>
    </w:p>
    <w:p>
      <w:r>
        <w:pict>
          <v:rect style="width:0;height:1.5pt" o:hralign="center" o:hrstd="t" o:hr="t"/>
        </w:pict>
      </w:r>
    </w:p>
    <w:bookmarkEnd w:id="20"/>
    <w:bookmarkStart w:id="21" w:name="data-requirements-minimum-viable-columns"/>
    <w:p>
      <w:pPr>
        <w:pStyle w:val="Heading2"/>
      </w:pPr>
      <w:r>
        <w:t xml:space="preserve">2) Data requirements (minimum viable columns)</w:t>
      </w:r>
    </w:p>
    <w:p>
      <w:pPr>
        <w:pStyle w:val="FirstParagraph"/>
      </w:pPr>
      <w:r>
        <w:t xml:space="preserve">Your CSV should include headers (case‑insensitive accepted if you normalized them). Critical fields: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CNTYFIPS</w:t>
      </w:r>
      <w:r>
        <w:t xml:space="preserve"> </w:t>
      </w:r>
      <w:r>
        <w:t xml:space="preserve">(text or numeric OK),</w:t>
      </w:r>
      <w:r>
        <w:t xml:space="preserve"> </w:t>
      </w:r>
      <w:r>
        <w:rPr>
          <w:rStyle w:val="VerbatimChar"/>
        </w:rPr>
        <w:t xml:space="preserve">MSA</w:t>
      </w:r>
      <w:r>
        <w:t xml:space="preserve"> </w:t>
      </w:r>
      <w:r>
        <w:t xml:space="preserve">(text or numeric OK)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VicSex</w:t>
      </w:r>
      <w:r>
        <w:t xml:space="preserve">,</w:t>
      </w:r>
      <w:r>
        <w:t xml:space="preserve"> </w:t>
      </w:r>
      <w:r>
        <w:rPr>
          <w:rStyle w:val="VerbatimChar"/>
        </w:rPr>
        <w:t xml:space="preserve">OffSex</w:t>
      </w:r>
      <w:r>
        <w:t xml:space="preserve">,</w:t>
      </w:r>
      <w:r>
        <w:t xml:space="preserve"> </w:t>
      </w:r>
      <w:r>
        <w:rPr>
          <w:rStyle w:val="VerbatimChar"/>
        </w:rPr>
        <w:t xml:space="preserve">Weapon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Solved</w:t>
      </w:r>
      <w:r>
        <w:t xml:space="preserve"> </w:t>
      </w:r>
      <w:r>
        <w:t xml:space="preserve">(values like</w:t>
      </w:r>
      <w:r>
        <w:t xml:space="preserve"> </w:t>
      </w:r>
      <w:r>
        <w:rPr>
          <w:rStyle w:val="VerbatimChar"/>
        </w:rPr>
        <w:t xml:space="preserve">Yes/No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Y/N</w:t>
      </w:r>
      <w:r>
        <w:t xml:space="preserve">)</w:t>
      </w:r>
      <w:r>
        <w:t xml:space="preserve"> </w:t>
      </w:r>
      <w:r>
        <w:rPr>
          <w:b/>
          <w:bCs/>
        </w:rPr>
        <w:t xml:space="preserve">← recommended truth source</w:t>
      </w:r>
      <w:r>
        <w:t xml:space="preserve"> </w:t>
      </w:r>
      <w:r>
        <w:t xml:space="preserve">- Useful context (if present):</w:t>
      </w:r>
      <w:r>
        <w:t xml:space="preserve"> </w:t>
      </w:r>
      <w:r>
        <w:rPr>
          <w:rStyle w:val="VerbatimChar"/>
        </w:rPr>
        <w:t xml:space="preserve">Relationship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Circumstance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Situation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Ori</w:t>
      </w:r>
      <w:r>
        <w:t xml:space="preserve">,</w:t>
      </w:r>
      <w:r>
        <w:t xml:space="preserve"> </w:t>
      </w:r>
      <w:r>
        <w:rPr>
          <w:rStyle w:val="VerbatimChar"/>
        </w:rPr>
        <w:t xml:space="preserve">Agency</w:t>
      </w:r>
      <w:r>
        <w:t xml:space="preserve">,</w:t>
      </w:r>
      <w:r>
        <w:t xml:space="preserve"> </w:t>
      </w:r>
      <w:r>
        <w:rPr>
          <w:rStyle w:val="VerbatimChar"/>
        </w:rPr>
        <w:t xml:space="preserve">VicAge</w:t>
      </w:r>
      <w:r>
        <w:t xml:space="preserve">,</w:t>
      </w:r>
      <w:r>
        <w:t xml:space="preserve"> </w:t>
      </w:r>
      <w:r>
        <w:rPr>
          <w:rStyle w:val="VerbatimChar"/>
        </w:rPr>
        <w:t xml:space="preserve">OffAge</w:t>
      </w:r>
    </w:p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- Numeric sentinels like</w:t>
      </w:r>
      <w:r>
        <w:t xml:space="preserve"> </w:t>
      </w:r>
      <w:r>
        <w:rPr>
          <w:rStyle w:val="VerbatimChar"/>
        </w:rPr>
        <w:t xml:space="preserve">OffAge=999</w:t>
      </w:r>
      <w:r>
        <w:t xml:space="preserve"> </w:t>
      </w:r>
      <w:r>
        <w:t xml:space="preserve">are treated as unknowns.</w:t>
      </w:r>
      <w:r>
        <w:t xml:space="preserve"> </w:t>
      </w:r>
      <w:r>
        <w:t xml:space="preserve">- If a county/MSA is a name (e.g.,</w:t>
      </w:r>
      <w:r>
        <w:t xml:space="preserve"> </w:t>
      </w:r>
      <w:r>
        <w:t xml:space="preserve">“Anchorage, AK”</w:t>
      </w:r>
      <w:r>
        <w:t xml:space="preserve">), the tool uses the label and a stable hash so clusters remain distinct.</w:t>
      </w:r>
    </w:p>
    <w:p>
      <w:r>
        <w:pict>
          <v:rect style="width:0;height:1.5pt" o:hralign="center" o:hrstd="t" o:hr="t"/>
        </w:pict>
      </w:r>
    </w:p>
    <w:bookmarkEnd w:id="21"/>
    <w:bookmarkStart w:id="22" w:name="installation-once-per-workstation"/>
    <w:p>
      <w:pPr>
        <w:pStyle w:val="Heading2"/>
      </w:pPr>
      <w:r>
        <w:t xml:space="preserve">3) Installation (once per workstation)</w:t>
      </w:r>
    </w:p>
    <w:p>
      <w:pPr>
        <w:pStyle w:val="Compact"/>
        <w:numPr>
          <w:ilvl w:val="0"/>
          <w:numId w:val="1001"/>
        </w:numPr>
      </w:pPr>
      <w:r>
        <w:t xml:space="preserve">Python 3.9+ and</w:t>
      </w:r>
      <w:r>
        <w:t xml:space="preserve"> </w:t>
      </w:r>
      <w:r>
        <w:rPr>
          <w:rStyle w:val="VerbatimChar"/>
        </w:rPr>
        <w:t xml:space="preserve">pip install pandas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Save the script as</w:t>
      </w:r>
      <w:r>
        <w:t xml:space="preserve"> </w:t>
      </w:r>
      <w:r>
        <w:rPr>
          <w:rStyle w:val="VerbatimChar"/>
        </w:rPr>
        <w:t xml:space="preserve">map_cluster.py</w:t>
      </w:r>
      <w:r>
        <w:t xml:space="preserve"> </w:t>
      </w:r>
      <w:r>
        <w:t xml:space="preserve">in a working folder.</w:t>
      </w:r>
    </w:p>
    <w:p>
      <w:pPr>
        <w:pStyle w:val="Compact"/>
        <w:numPr>
          <w:ilvl w:val="0"/>
          <w:numId w:val="1001"/>
        </w:numPr>
      </w:pPr>
      <w:r>
        <w:t xml:space="preserve">Your homicide CSV goes in the same (or supply full path).</w:t>
      </w:r>
    </w:p>
    <w:p>
      <w:pPr>
        <w:pStyle w:val="FirstParagraph"/>
      </w:pPr>
      <w:r>
        <w:rPr>
          <w:b/>
          <w:bCs/>
        </w:rPr>
        <w:t xml:space="preserve">Windows tip: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cmd.exe</w:t>
      </w:r>
      <w:r>
        <w:t xml:space="preserve"> </w:t>
      </w:r>
      <w:r>
        <w:t xml:space="preserve">or PowerShell. Examples below use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on PATH.</w:t>
      </w:r>
    </w:p>
    <w:p>
      <w:r>
        <w:pict>
          <v:rect style="width:0;height:1.5pt" o:hralign="center" o:hrstd="t" o:hr="t"/>
        </w:pict>
      </w:r>
    </w:p>
    <w:bookmarkEnd w:id="22"/>
    <w:bookmarkStart w:id="23" w:name="quick-start-copypaste-ready"/>
    <w:p>
      <w:pPr>
        <w:pStyle w:val="Heading2"/>
      </w:pPr>
      <w:r>
        <w:t xml:space="preserve">4) Quick start (copy‑paste ready)</w:t>
      </w:r>
    </w:p>
    <w:p>
      <w:pPr>
        <w:pStyle w:val="FirstParagraph"/>
      </w:pPr>
      <w:r>
        <w:rPr>
          <w:b/>
          <w:bCs/>
        </w:rPr>
        <w:t xml:space="preserve">Baseline female/MSA scan (modern era, ≥2010):</w:t>
      </w:r>
    </w:p>
    <w:p>
      <w:pPr>
        <w:pStyle w:val="SourceCode"/>
      </w:pPr>
      <w:r>
        <w:rPr>
          <w:rStyle w:val="NormalTok"/>
        </w:rPr>
        <w:t xml:space="preserve">python map_cluster.py SHR.csv -</w:t>
      </w:r>
      <w:r>
        <w:rPr>
          <w:rStyle w:val="AttributeTok"/>
        </w:rPr>
        <w:t xml:space="preserve">-group</w:t>
      </w:r>
      <w:r>
        <w:rPr>
          <w:rStyle w:val="NormalTok"/>
        </w:rPr>
        <w:t xml:space="preserve"> msa -</w:t>
      </w:r>
      <w:r>
        <w:rPr>
          <w:rStyle w:val="AttributeTok"/>
        </w:rPr>
        <w:t xml:space="preserve">-solved-source</w:t>
      </w:r>
      <w:r>
        <w:rPr>
          <w:rStyle w:val="NormalTok"/>
        </w:rPr>
        <w:t xml:space="preserve"> field -</w:t>
      </w:r>
      <w:r>
        <w:rPr>
          <w:rStyle w:val="AttributeTok"/>
        </w:rPr>
        <w:t xml:space="preserve">-focus-sex</w:t>
      </w:r>
      <w:r>
        <w:rPr>
          <w:rStyle w:val="NormalTok"/>
        </w:rPr>
        <w:t xml:space="preserve"> female ^</w:t>
      </w:r>
      <w:r>
        <w:br/>
      </w:r>
      <w:r>
        <w:rPr>
          <w:rStyle w:val="NormalTok"/>
        </w:rPr>
        <w:t xml:space="preserve">  --relcirc -</w:t>
      </w:r>
      <w:r>
        <w:rPr>
          <w:rStyle w:val="AttributeTok"/>
        </w:rPr>
        <w:t xml:space="preserve">-min-decade</w:t>
      </w:r>
      <w:r>
        <w:rPr>
          <w:rStyle w:val="NormalTok"/>
        </w:rPr>
        <w:t xml:space="preserve"> 2010 -</w:t>
      </w:r>
      <w:r>
        <w:rPr>
          <w:rStyle w:val="AttributeTok"/>
        </w:rPr>
        <w:t xml:space="preserve">-min-total</w:t>
      </w:r>
      <w:r>
        <w:rPr>
          <w:rStyle w:val="NormalTok"/>
        </w:rPr>
        <w:t xml:space="preserve"> 15 -</w:t>
      </w:r>
      <w:r>
        <w:rPr>
          <w:rStyle w:val="AttributeTok"/>
        </w:rPr>
        <w:t xml:space="preserve">-threshold</w:t>
      </w:r>
      <w:r>
        <w:rPr>
          <w:rStyle w:val="NormalTok"/>
        </w:rPr>
        <w:t xml:space="preserve"> 0.33 -</w:t>
      </w:r>
      <w:r>
        <w:rPr>
          <w:rStyle w:val="AttributeTok"/>
        </w:rPr>
        <w:t xml:space="preserve">-top</w:t>
      </w:r>
      <w:r>
        <w:rPr>
          <w:rStyle w:val="NormalTok"/>
        </w:rPr>
        <w:t xml:space="preserve"> 20 -</w:t>
      </w:r>
      <w:r>
        <w:rPr>
          <w:rStyle w:val="AttributeTok"/>
        </w:rPr>
        <w:t xml:space="preserve">-outdir</w:t>
      </w:r>
      <w:r>
        <w:rPr>
          <w:rStyle w:val="NormalTok"/>
        </w:rPr>
        <w:t xml:space="preserve"> out</w:t>
      </w:r>
    </w:p>
    <w:p>
      <w:pPr>
        <w:pStyle w:val="FirstParagraph"/>
      </w:pPr>
      <w:r>
        <w:rPr>
          <w:b/>
          <w:bCs/>
        </w:rPr>
        <w:t xml:space="preserve">County view:</w:t>
      </w:r>
    </w:p>
    <w:p>
      <w:pPr>
        <w:pStyle w:val="SourceCode"/>
      </w:pPr>
      <w:r>
        <w:rPr>
          <w:rStyle w:val="NormalTok"/>
        </w:rPr>
        <w:t xml:space="preserve">python map_cluster.py SHR.csv -</w:t>
      </w:r>
      <w:r>
        <w:rPr>
          <w:rStyle w:val="AttributeTok"/>
        </w:rPr>
        <w:t xml:space="preserve">-group</w:t>
      </w:r>
      <w:r>
        <w:rPr>
          <w:rStyle w:val="NormalTok"/>
        </w:rPr>
        <w:t xml:space="preserve"> county -</w:t>
      </w:r>
      <w:r>
        <w:rPr>
          <w:rStyle w:val="AttributeTok"/>
        </w:rPr>
        <w:t xml:space="preserve">-solved-source</w:t>
      </w:r>
      <w:r>
        <w:rPr>
          <w:rStyle w:val="NormalTok"/>
        </w:rPr>
        <w:t xml:space="preserve"> field -</w:t>
      </w:r>
      <w:r>
        <w:rPr>
          <w:rStyle w:val="AttributeTok"/>
        </w:rPr>
        <w:t xml:space="preserve">-focus-sex</w:t>
      </w:r>
      <w:r>
        <w:rPr>
          <w:rStyle w:val="NormalTok"/>
        </w:rPr>
        <w:t xml:space="preserve"> female ^</w:t>
      </w:r>
      <w:r>
        <w:br/>
      </w:r>
      <w:r>
        <w:rPr>
          <w:rStyle w:val="NormalTok"/>
        </w:rPr>
        <w:t xml:space="preserve">  --relcirc -</w:t>
      </w:r>
      <w:r>
        <w:rPr>
          <w:rStyle w:val="AttributeTok"/>
        </w:rPr>
        <w:t xml:space="preserve">-min-decade</w:t>
      </w:r>
      <w:r>
        <w:rPr>
          <w:rStyle w:val="NormalTok"/>
        </w:rPr>
        <w:t xml:space="preserve"> 2010 -</w:t>
      </w:r>
      <w:r>
        <w:rPr>
          <w:rStyle w:val="AttributeTok"/>
        </w:rPr>
        <w:t xml:space="preserve">-min-total</w:t>
      </w:r>
      <w:r>
        <w:rPr>
          <w:rStyle w:val="NormalTok"/>
        </w:rPr>
        <w:t xml:space="preserve"> 15 -</w:t>
      </w:r>
      <w:r>
        <w:rPr>
          <w:rStyle w:val="AttributeTok"/>
        </w:rPr>
        <w:t xml:space="preserve">-threshold</w:t>
      </w:r>
      <w:r>
        <w:rPr>
          <w:rStyle w:val="NormalTok"/>
        </w:rPr>
        <w:t xml:space="preserve"> 0.33 -</w:t>
      </w:r>
      <w:r>
        <w:rPr>
          <w:rStyle w:val="AttributeTok"/>
        </w:rPr>
        <w:t xml:space="preserve">-top</w:t>
      </w:r>
      <w:r>
        <w:rPr>
          <w:rStyle w:val="NormalTok"/>
        </w:rPr>
        <w:t xml:space="preserve"> 20 -</w:t>
      </w:r>
      <w:r>
        <w:rPr>
          <w:rStyle w:val="AttributeTok"/>
        </w:rPr>
        <w:t xml:space="preserve">-outdir</w:t>
      </w:r>
      <w:r>
        <w:rPr>
          <w:rStyle w:val="NormalTok"/>
        </w:rPr>
        <w:t xml:space="preserve"> out</w:t>
      </w:r>
    </w:p>
    <w:p>
      <w:pPr>
        <w:pStyle w:val="FirstParagraph"/>
      </w:pPr>
      <w:r>
        <w:rPr>
          <w:b/>
          <w:bCs/>
        </w:rPr>
        <w:t xml:space="preserve">Tighten the bar (modern, ≥20 cases, ≤30% cleared):</w:t>
      </w:r>
    </w:p>
    <w:p>
      <w:pPr>
        <w:pStyle w:val="SourceCode"/>
      </w:pPr>
      <w:r>
        <w:rPr>
          <w:rStyle w:val="NormalTok"/>
        </w:rPr>
        <w:t xml:space="preserve">python map_cluster.py SHR.csv -</w:t>
      </w:r>
      <w:r>
        <w:rPr>
          <w:rStyle w:val="AttributeTok"/>
        </w:rPr>
        <w:t xml:space="preserve">-group</w:t>
      </w:r>
      <w:r>
        <w:rPr>
          <w:rStyle w:val="NormalTok"/>
        </w:rPr>
        <w:t xml:space="preserve"> msa -</w:t>
      </w:r>
      <w:r>
        <w:rPr>
          <w:rStyle w:val="AttributeTok"/>
        </w:rPr>
        <w:t xml:space="preserve">-solved-source</w:t>
      </w:r>
      <w:r>
        <w:rPr>
          <w:rStyle w:val="NormalTok"/>
        </w:rPr>
        <w:t xml:space="preserve"> field -</w:t>
      </w:r>
      <w:r>
        <w:rPr>
          <w:rStyle w:val="AttributeTok"/>
        </w:rPr>
        <w:t xml:space="preserve">-focus-sex</w:t>
      </w:r>
      <w:r>
        <w:rPr>
          <w:rStyle w:val="NormalTok"/>
        </w:rPr>
        <w:t xml:space="preserve"> female ^</w:t>
      </w:r>
      <w:r>
        <w:br/>
      </w:r>
      <w:r>
        <w:rPr>
          <w:rStyle w:val="NormalTok"/>
        </w:rPr>
        <w:t xml:space="preserve">  --relcirc -</w:t>
      </w:r>
      <w:r>
        <w:rPr>
          <w:rStyle w:val="AttributeTok"/>
        </w:rPr>
        <w:t xml:space="preserve">-min-decade</w:t>
      </w:r>
      <w:r>
        <w:rPr>
          <w:rStyle w:val="NormalTok"/>
        </w:rPr>
        <w:t xml:space="preserve"> 2010 -</w:t>
      </w:r>
      <w:r>
        <w:rPr>
          <w:rStyle w:val="AttributeTok"/>
        </w:rPr>
        <w:t xml:space="preserve">-min-total</w:t>
      </w:r>
      <w:r>
        <w:rPr>
          <w:rStyle w:val="NormalTok"/>
        </w:rPr>
        <w:t xml:space="preserve"> 20 -</w:t>
      </w:r>
      <w:r>
        <w:rPr>
          <w:rStyle w:val="AttributeTok"/>
        </w:rPr>
        <w:t xml:space="preserve">-threshold</w:t>
      </w:r>
      <w:r>
        <w:rPr>
          <w:rStyle w:val="NormalTok"/>
        </w:rPr>
        <w:t xml:space="preserve"> 0.30 -</w:t>
      </w:r>
      <w:r>
        <w:rPr>
          <w:rStyle w:val="AttributeTok"/>
        </w:rPr>
        <w:t xml:space="preserve">-top</w:t>
      </w:r>
      <w:r>
        <w:rPr>
          <w:rStyle w:val="NormalTok"/>
        </w:rPr>
        <w:t xml:space="preserve"> 20 -</w:t>
      </w:r>
      <w:r>
        <w:rPr>
          <w:rStyle w:val="AttributeTok"/>
        </w:rPr>
        <w:t xml:space="preserve">-outdir</w:t>
      </w:r>
      <w:r>
        <w:rPr>
          <w:rStyle w:val="NormalTok"/>
        </w:rPr>
        <w:t xml:space="preserve"> out</w:t>
      </w:r>
    </w:p>
    <w:p>
      <w:pPr>
        <w:pStyle w:val="FirstParagraph"/>
      </w:pPr>
      <w:r>
        <w:rPr>
          <w:b/>
          <w:bCs/>
        </w:rPr>
        <w:t xml:space="preserve">Case‑level dump for a flagged cluster:</w:t>
      </w:r>
    </w:p>
    <w:p>
      <w:pPr>
        <w:pStyle w:val="SourceCode"/>
      </w:pPr>
      <w:r>
        <w:rPr>
          <w:rStyle w:val="NormalTok"/>
        </w:rPr>
        <w:t xml:space="preserve">python map_cluster.py SHR.csv -</w:t>
      </w:r>
      <w:r>
        <w:rPr>
          <w:rStyle w:val="AttributeTok"/>
        </w:rPr>
        <w:t xml:space="preserve">-group</w:t>
      </w:r>
      <w:r>
        <w:rPr>
          <w:rStyle w:val="NormalTok"/>
        </w:rPr>
        <w:t xml:space="preserve"> msa -</w:t>
      </w:r>
      <w:r>
        <w:rPr>
          <w:rStyle w:val="AttributeTok"/>
        </w:rPr>
        <w:t xml:space="preserve">-solved-source</w:t>
      </w:r>
      <w:r>
        <w:rPr>
          <w:rStyle w:val="NormalTok"/>
        </w:rPr>
        <w:t xml:space="preserve"> field -</w:t>
      </w:r>
      <w:r>
        <w:rPr>
          <w:rStyle w:val="AttributeTok"/>
        </w:rPr>
        <w:t xml:space="preserve">-focus-sex</w:t>
      </w:r>
      <w:r>
        <w:rPr>
          <w:rStyle w:val="NormalTok"/>
        </w:rPr>
        <w:t xml:space="preserve"> female ^</w:t>
      </w:r>
      <w:r>
        <w:br/>
      </w:r>
      <w:r>
        <w:rPr>
          <w:rStyle w:val="NormalTok"/>
        </w:rPr>
        <w:t xml:space="preserve">  --dump-msa </w:t>
      </w:r>
      <w:r>
        <w:rPr>
          <w:rStyle w:val="StringTok"/>
        </w:rPr>
        <w:t xml:space="preserve">"St. Louis, MO-IL"</w:t>
      </w:r>
      <w:r>
        <w:rPr>
          <w:rStyle w:val="NormalTok"/>
        </w:rPr>
        <w:t xml:space="preserve"> -</w:t>
      </w:r>
      <w:r>
        <w:rPr>
          <w:rStyle w:val="AttributeTok"/>
        </w:rPr>
        <w:t xml:space="preserve">-dump-weapon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"Firearm, type not stated"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--dump-out out</w:t>
      </w:r>
      <w:r>
        <w:rPr>
          <w:rStyle w:val="AttributeTok"/>
        </w:rPr>
        <w:t xml:space="preserve">/stl_firearm_not_stated_cases</w:t>
      </w:r>
      <w:r>
        <w:rPr>
          <w:rStyle w:val="NormalTok"/>
        </w:rPr>
        <w:t xml:space="preserve">.csv -</w:t>
      </w:r>
      <w:r>
        <w:rPr>
          <w:rStyle w:val="AttributeTok"/>
        </w:rPr>
        <w:t xml:space="preserve">-outdir</w:t>
      </w:r>
      <w:r>
        <w:rPr>
          <w:rStyle w:val="NormalTok"/>
        </w:rPr>
        <w:t xml:space="preserve"> out</w:t>
      </w:r>
    </w:p>
    <w:p>
      <w:pPr>
        <w:pStyle w:val="FirstParagraph"/>
      </w:pPr>
      <w:r>
        <w:rPr>
          <w:b/>
          <w:bCs/>
        </w:rPr>
        <w:t xml:space="preserve">Batch sweep (Windows CMD) over thresholds):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%t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(0.25</w:t>
      </w:r>
      <w:r>
        <w:rPr>
          <w:rStyle w:val="NormalTok"/>
        </w:rPr>
        <w:t xml:space="preserve"> </w:t>
      </w:r>
      <w:r>
        <w:rPr>
          <w:rStyle w:val="ErrorTok"/>
        </w:rPr>
        <w:t xml:space="preserve">0.28</w:t>
      </w:r>
      <w:r>
        <w:rPr>
          <w:rStyle w:val="NormalTok"/>
        </w:rPr>
        <w:t xml:space="preserve"> </w:t>
      </w:r>
      <w:r>
        <w:rPr>
          <w:rStyle w:val="ErrorTok"/>
        </w:rPr>
        <w:t xml:space="preserve">0.30</w:t>
      </w:r>
      <w:r>
        <w:rPr>
          <w:rStyle w:val="NormalTok"/>
        </w:rPr>
        <w:t xml:space="preserve"> </w:t>
      </w:r>
      <w:r>
        <w:rPr>
          <w:rStyle w:val="ErrorTok"/>
        </w:rPr>
        <w:t xml:space="preserve">0.33)</w:t>
      </w:r>
      <w:r>
        <w:rPr>
          <w:rStyle w:val="NormalTok"/>
        </w:rPr>
        <w:t xml:space="preserve"> </w:t>
      </w:r>
      <w:r>
        <w:rPr>
          <w:rStyle w:val="ErrorTok"/>
        </w:rPr>
        <w:t xml:space="preserve">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python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map_cluster.py</w:t>
      </w:r>
      <w:r>
        <w:rPr>
          <w:rStyle w:val="NormalTok"/>
        </w:rPr>
        <w:t xml:space="preserve"> </w:t>
      </w:r>
      <w:r>
        <w:rPr>
          <w:rStyle w:val="ErrorTok"/>
        </w:rPr>
        <w:t xml:space="preserve">SHR.csv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--group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--solved-source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field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--focus-sex</w:t>
      </w:r>
      <w:r>
        <w:rPr>
          <w:rStyle w:val="NormalTok"/>
        </w:rPr>
        <w:t xml:space="preserve"> </w:t>
      </w:r>
      <w:r>
        <w:rPr>
          <w:rStyle w:val="ErrorTok"/>
        </w:rPr>
        <w:t xml:space="preserve">female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--relcirc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--min-decade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2010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--min-total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20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--threshold</w:t>
      </w:r>
      <w:r>
        <w:rPr>
          <w:rStyle w:val="NormalTok"/>
        </w:rPr>
        <w:t xml:space="preserve"> </w:t>
      </w:r>
      <w:r>
        <w:rPr>
          <w:rStyle w:val="ErrorTok"/>
        </w:rPr>
        <w:t xml:space="preserve">%t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--top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--outdir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</w:t>
      </w:r>
    </w:p>
    <w:p>
      <w:r>
        <w:pict>
          <v:rect style="width:0;height:1.5pt" o:hralign="center" o:hrstd="t" o:hr="t"/>
        </w:pict>
      </w:r>
    </w:p>
    <w:bookmarkEnd w:id="23"/>
    <w:bookmarkStart w:id="24" w:name="output-files-how-to-read-them"/>
    <w:p>
      <w:pPr>
        <w:pStyle w:val="Heading2"/>
      </w:pPr>
      <w:r>
        <w:t xml:space="preserve">5) Output files &amp; how to read them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AGGREGATE_COUNTY.csv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AGGREGATE_MSA.csv</w:t>
      </w:r>
      <w:r>
        <w:t xml:space="preserve">: all clusters (no filter), sorted by UNSOLVED.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FILTERED_*.csv</w:t>
      </w:r>
      <w:r>
        <w:t xml:space="preserve">: the filtered/thresholded list shown in the console preview.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WEAPON_CODEBOOK.csv</w:t>
      </w:r>
      <w:r>
        <w:t xml:space="preserve"> </w:t>
      </w:r>
      <w:r>
        <w:t xml:space="preserve">(optional): mapping of weapon string→code for the run.</w:t>
      </w:r>
    </w:p>
    <w:p>
      <w:pPr>
        <w:pStyle w:val="Compact"/>
        <w:numPr>
          <w:ilvl w:val="0"/>
          <w:numId w:val="1002"/>
        </w:numPr>
      </w:pPr>
      <w:r>
        <w:t xml:space="preserve">Optional</w:t>
      </w:r>
      <w:r>
        <w:t xml:space="preserve"> </w:t>
      </w:r>
      <w:r>
        <w:rPr>
          <w:b/>
          <w:bCs/>
        </w:rPr>
        <w:t xml:space="preserve">case dumps</w:t>
      </w:r>
      <w:r>
        <w:t xml:space="preserve">: per your</w:t>
      </w:r>
      <w:r>
        <w:t xml:space="preserve"> </w:t>
      </w:r>
      <w:r>
        <w:rPr>
          <w:rStyle w:val="VerbatimChar"/>
        </w:rPr>
        <w:t xml:space="preserve">--dump-*</w:t>
      </w:r>
      <w:r>
        <w:t xml:space="preserve"> </w:t>
      </w:r>
      <w:r>
        <w:t xml:space="preserve">flags.</w:t>
      </w:r>
    </w:p>
    <w:p>
      <w:pPr>
        <w:pStyle w:val="FirstParagraph"/>
      </w:pPr>
      <w:r>
        <w:rPr>
          <w:b/>
          <w:bCs/>
        </w:rPr>
        <w:t xml:space="preserve">Important columns: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PERCENT</w:t>
      </w:r>
      <w:r>
        <w:t xml:space="preserve"> </w:t>
      </w:r>
      <w:r>
        <w:t xml:space="preserve">= clearance rate in that cluster;</w:t>
      </w:r>
      <w:r>
        <w:t xml:space="preserve"> </w:t>
      </w:r>
      <w:r>
        <w:rPr>
          <w:rStyle w:val="VerbatimChar"/>
        </w:rPr>
        <w:t xml:space="preserve">UNSOLVED</w:t>
      </w:r>
      <w:r>
        <w:t xml:space="preserve"> </w:t>
      </w:r>
      <w:r>
        <w:t xml:space="preserve">= TOTAL − SOLVED.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REL_UNK_RATE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CIRC_UNK_RATE</w:t>
      </w:r>
      <w:r>
        <w:t xml:space="preserve"> </w:t>
      </w:r>
      <w:r>
        <w:t xml:space="preserve">= share of cases where Relationship/Circumstance are unknown/undetermined/unspecified/blank.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REL_TOP1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CIRC_TOP1</w:t>
      </w:r>
      <w:r>
        <w:t xml:space="preserve"> </w:t>
      </w:r>
      <w:r>
        <w:t xml:space="preserve">= most frequent known category (e.g.,</w:t>
      </w:r>
      <w:r>
        <w:t xml:space="preserve"> </w:t>
      </w:r>
      <w:r>
        <w:rPr>
          <w:rStyle w:val="VerbatimChar"/>
        </w:rPr>
        <w:t xml:space="preserve">Acquaintance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Rape</w:t>
      </w:r>
      <w:r>
        <w:t xml:space="preserve">,</w:t>
      </w:r>
      <w:r>
        <w:t xml:space="preserve"> </w:t>
      </w:r>
      <w:r>
        <w:rPr>
          <w:rStyle w:val="VerbatimChar"/>
        </w:rPr>
        <w:t xml:space="preserve">Other arguments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REPORT_GAP_IDX</w:t>
      </w:r>
      <w:r>
        <w:t xml:space="preserve"> </w:t>
      </w:r>
      <w:r>
        <w:t xml:space="preserve">(if present) ≈ average of the two unknown rates.</w:t>
      </w:r>
    </w:p>
    <w:p>
      <w:pPr>
        <w:pStyle w:val="BodyText"/>
      </w:pPr>
      <w:r>
        <w:rPr>
          <w:b/>
          <w:bCs/>
        </w:rPr>
        <w:t xml:space="preserve">Interpretation pattern: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Method‑driven pockets</w:t>
      </w:r>
      <w:r>
        <w:t xml:space="preserve"> </w:t>
      </w:r>
      <w:r>
        <w:t xml:space="preserve">(e.g.,</w:t>
      </w:r>
      <w:r>
        <w:t xml:space="preserve"> </w:t>
      </w:r>
      <w:r>
        <w:rPr>
          <w:i/>
          <w:iCs/>
        </w:rPr>
        <w:t xml:space="preserve">Strangulation - hanging</w:t>
      </w:r>
      <w:r>
        <w:t xml:space="preserve">): often operational challenge even with decent metadata.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Data‑gap pockets</w:t>
      </w:r>
      <w:r>
        <w:t xml:space="preserve"> </w:t>
      </w:r>
      <w:r>
        <w:t xml:space="preserve">(e.g.,</w:t>
      </w:r>
      <w:r>
        <w:t xml:space="preserve"> </w:t>
      </w:r>
      <w:r>
        <w:rPr>
          <w:i/>
          <w:iCs/>
        </w:rPr>
        <w:t xml:space="preserve">Firearm, type not stated</w:t>
      </w:r>
      <w:r>
        <w:t xml:space="preserve">): usually correctable via QA/training; clearance tends to improve when metadata improves.</w:t>
      </w:r>
    </w:p>
    <w:p>
      <w:r>
        <w:pict>
          <v:rect style="width:0;height:1.5pt" o:hralign="center" o:hrstd="t" o:hr="t"/>
        </w:pict>
      </w:r>
    </w:p>
    <w:bookmarkEnd w:id="24"/>
    <w:bookmarkStart w:id="25" w:name="flags-cheat-sheet"/>
    <w:p>
      <w:pPr>
        <w:pStyle w:val="Heading2"/>
      </w:pPr>
      <w:r>
        <w:t xml:space="preserve">6) Flags (cheat sheet)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Flag</w:t>
            </w:r>
          </w:p>
        </w:tc>
        <w:tc>
          <w:tcPr/>
          <w:p>
            <w:pPr>
              <w:pStyle w:val="Compact"/>
            </w:pPr>
            <w:r>
              <w:t xml:space="preserve">What it does</w:t>
            </w:r>
          </w:p>
        </w:tc>
        <w:tc>
          <w:tcPr/>
          <w:p>
            <w:pPr>
              <w:pStyle w:val="Compact"/>
            </w:pPr>
            <w:r>
              <w:t xml:space="preserve">Typical values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csv</w:t>
            </w:r>
            <w:r>
              <w:t xml:space="preserve"> </w:t>
            </w:r>
            <w:r>
              <w:t xml:space="preserve">(positional)</w:t>
            </w:r>
          </w:p>
        </w:tc>
        <w:tc>
          <w:tcPr/>
          <w:p>
            <w:pPr>
              <w:pStyle w:val="Compact"/>
            </w:pPr>
            <w:r>
              <w:t xml:space="preserve">Input CSV path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SHR65_23.csv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--group</w:t>
            </w:r>
          </w:p>
        </w:tc>
        <w:tc>
          <w:tcPr/>
          <w:p>
            <w:pPr>
              <w:pStyle w:val="Compact"/>
            </w:pPr>
            <w:r>
              <w:t xml:space="preserve">Cluster by county or MSA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county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msa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--solved-source</w:t>
            </w:r>
          </w:p>
        </w:tc>
        <w:tc>
          <w:tcPr/>
          <w:p>
            <w:pPr>
              <w:pStyle w:val="Compact"/>
            </w:pPr>
            <w:r>
              <w:t xml:space="preserve">How to mark SOLVED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field</w:t>
            </w:r>
            <w:r>
              <w:t xml:space="preserve"> </w:t>
            </w:r>
            <w:r>
              <w:t xml:space="preserve">(recommended) |</w:t>
            </w:r>
            <w:r>
              <w:t xml:space="preserve"> </w:t>
            </w:r>
            <w:r>
              <w:rPr>
                <w:rStyle w:val="VerbatimChar"/>
              </w:rPr>
              <w:t xml:space="preserve">offsex</w:t>
            </w:r>
            <w:r>
              <w:t xml:space="preserve"> </w:t>
            </w:r>
            <w:r>
              <w:t xml:space="preserve">(legacy proxy)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--focus-sex</w:t>
            </w:r>
          </w:p>
        </w:tc>
        <w:tc>
          <w:tcPr/>
          <w:p>
            <w:pPr>
              <w:pStyle w:val="Compact"/>
            </w:pPr>
            <w:r>
              <w:t xml:space="preserve">Victim sex filter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female</w:t>
            </w:r>
            <w:r>
              <w:t xml:space="preserve"> </w:t>
            </w:r>
            <w:r>
              <w:t xml:space="preserve">(default) |</w:t>
            </w:r>
            <w:r>
              <w:t xml:space="preserve"> </w:t>
            </w:r>
            <w:r>
              <w:rPr>
                <w:rStyle w:val="VerbatimChar"/>
              </w:rPr>
              <w:t xml:space="preserve">male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all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--threshold</w:t>
            </w:r>
          </w:p>
        </w:tc>
        <w:tc>
          <w:tcPr/>
          <w:p>
            <w:pPr>
              <w:pStyle w:val="Compact"/>
            </w:pPr>
            <w:r>
              <w:t xml:space="preserve">Keep clusters with</w:t>
            </w:r>
            <w:r>
              <w:t xml:space="preserve"> </w:t>
            </w:r>
            <w:r>
              <w:rPr>
                <w:b/>
                <w:bCs/>
              </w:rPr>
              <w:t xml:space="preserve">PERCENT ≤ 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0.33</w:t>
            </w:r>
            <w:r>
              <w:t xml:space="preserve"> </w:t>
            </w:r>
            <w:r>
              <w:t xml:space="preserve">default; try</w:t>
            </w:r>
            <w:r>
              <w:t xml:space="preserve"> </w:t>
            </w:r>
            <w:r>
              <w:rPr>
                <w:rStyle w:val="VerbatimChar"/>
              </w:rPr>
              <w:t xml:space="preserve">0.30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0.25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--min-total</w:t>
            </w:r>
          </w:p>
        </w:tc>
        <w:tc>
          <w:tcPr/>
          <w:p>
            <w:pPr>
              <w:pStyle w:val="Compact"/>
            </w:pPr>
            <w:r>
              <w:t xml:space="preserve">Require at least N cases in a cluster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rPr>
                <w:rStyle w:val="VerbatimChar"/>
              </w:rPr>
              <w:t xml:space="preserve">15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20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--by-decade</w:t>
            </w:r>
          </w:p>
        </w:tc>
        <w:tc>
          <w:tcPr/>
          <w:p>
            <w:pPr>
              <w:pStyle w:val="Compact"/>
            </w:pPr>
            <w:r>
              <w:t xml:space="preserve">Adds DECADE to grouping/outputs</w:t>
            </w:r>
          </w:p>
        </w:tc>
        <w:tc>
          <w:tcPr/>
          <w:p>
            <w:pPr>
              <w:pStyle w:val="Compact"/>
            </w:pPr>
            <w:r>
              <w:t xml:space="preserve">toggle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--min-decade</w:t>
            </w:r>
          </w:p>
        </w:tc>
        <w:tc>
          <w:tcPr/>
          <w:p>
            <w:pPr>
              <w:pStyle w:val="Compact"/>
            </w:pPr>
            <w:r>
              <w:t xml:space="preserve">Drop cases before given decade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2000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2010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--relcirc</w:t>
            </w:r>
          </w:p>
        </w:tc>
        <w:tc>
          <w:tcPr/>
          <w:p>
            <w:pPr>
              <w:pStyle w:val="Compact"/>
            </w:pPr>
            <w:r>
              <w:t xml:space="preserve">Adds Relationship/Circumstance stats</w:t>
            </w:r>
          </w:p>
        </w:tc>
        <w:tc>
          <w:tcPr/>
          <w:p>
            <w:pPr>
              <w:pStyle w:val="Compact"/>
            </w:pPr>
            <w:r>
              <w:t xml:space="preserve">toggle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--min-known-rel</w:t>
            </w:r>
          </w:p>
        </w:tc>
        <w:tc>
          <w:tcPr/>
          <w:p>
            <w:pPr>
              <w:pStyle w:val="Compact"/>
            </w:pPr>
            <w:r>
              <w:t xml:space="preserve">Require share of known Relationship ≥ k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rPr>
                <w:rStyle w:val="VerbatimChar"/>
              </w:rPr>
              <w:t xml:space="preserve">0.30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--top</w:t>
            </w:r>
          </w:p>
        </w:tc>
        <w:tc>
          <w:tcPr/>
          <w:p>
            <w:pPr>
              <w:pStyle w:val="Compact"/>
            </w:pPr>
            <w:r>
              <w:t xml:space="preserve">How many rows to print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rPr>
                <w:rStyle w:val="VerbatimChar"/>
              </w:rPr>
              <w:t xml:space="preserve">10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20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--outdir</w:t>
            </w:r>
          </w:p>
        </w:tc>
        <w:tc>
          <w:tcPr/>
          <w:p>
            <w:pPr>
              <w:pStyle w:val="Compact"/>
            </w:pPr>
            <w:r>
              <w:t xml:space="preserve">Output directory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--no-filter</w:t>
            </w:r>
          </w:p>
        </w:tc>
        <w:tc>
          <w:tcPr/>
          <w:p>
            <w:pPr>
              <w:pStyle w:val="Compact"/>
            </w:pPr>
            <w:r>
              <w:t xml:space="preserve">Produce aggregates only</w:t>
            </w:r>
          </w:p>
        </w:tc>
        <w:tc>
          <w:tcPr/>
          <w:p>
            <w:pPr>
              <w:pStyle w:val="Compact"/>
            </w:pPr>
            <w:r>
              <w:t xml:space="preserve">toggle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--dump-msa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--dump-weapon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--dump-out</w:t>
            </w:r>
          </w:p>
        </w:tc>
        <w:tc>
          <w:tcPr/>
          <w:p>
            <w:pPr>
              <w:pStyle w:val="Compact"/>
            </w:pPr>
            <w:r>
              <w:t xml:space="preserve">Export case‑level rows matching</w:t>
            </w:r>
            <w:r>
              <w:t xml:space="preserve"> </w:t>
            </w:r>
            <w:r>
              <w:rPr>
                <w:b/>
                <w:bCs/>
              </w:rPr>
              <w:t xml:space="preserve">MSA + weapon</w:t>
            </w:r>
          </w:p>
        </w:tc>
        <w:tc>
          <w:tcPr/>
          <w:p>
            <w:pPr>
              <w:pStyle w:val="Compact"/>
            </w:pPr>
            <w:r>
              <w:t xml:space="preserve">strings + path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recommended-analyst-workflow-lea-context"/>
    <w:p>
      <w:pPr>
        <w:pStyle w:val="Heading2"/>
      </w:pPr>
      <w:r>
        <w:t xml:space="preserve">7) Recommended analyst workflow (LEA context)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Scan (broad):</w:t>
      </w:r>
      <w:r>
        <w:t xml:space="preserve"> </w:t>
      </w:r>
      <w:r>
        <w:rPr>
          <w:rStyle w:val="VerbatimChar"/>
        </w:rPr>
        <w:t xml:space="preserve">--group msa --solved-source field --focus-sex female --relcirc --min-total 15 --threshold 0.33</w:t>
      </w:r>
      <w:r>
        <w:t xml:space="preserve"> </w:t>
      </w:r>
      <w:r>
        <w:t xml:space="preserve">(optionally add</w:t>
      </w:r>
      <w:r>
        <w:t xml:space="preserve"> </w:t>
      </w:r>
      <w:r>
        <w:rPr>
          <w:rStyle w:val="VerbatimChar"/>
        </w:rPr>
        <w:t xml:space="preserve">--min-decade 2000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Validate:</w:t>
      </w:r>
      <w:r>
        <w:t xml:space="preserve"> </w:t>
      </w:r>
      <w:r>
        <w:t xml:space="preserve">sanity‑check that</w:t>
      </w:r>
      <w:r>
        <w:t xml:space="preserve"> </w:t>
      </w:r>
      <w:r>
        <w:rPr>
          <w:rStyle w:val="VerbatimChar"/>
        </w:rPr>
        <w:t xml:space="preserve">PERCENT</w:t>
      </w:r>
      <w:r>
        <w:t xml:space="preserve"> </w:t>
      </w:r>
      <w:r>
        <w:t xml:space="preserve">is consistent with the dataset’s</w:t>
      </w:r>
      <w:r>
        <w:t xml:space="preserve"> </w:t>
      </w:r>
      <w:r>
        <w:rPr>
          <w:rStyle w:val="VerbatimChar"/>
        </w:rPr>
        <w:t xml:space="preserve">Solved</w:t>
      </w:r>
      <w:r>
        <w:t xml:space="preserve"> </w:t>
      </w:r>
      <w:r>
        <w:t xml:space="preserve">values (you’re already using</w:t>
      </w:r>
      <w:r>
        <w:t xml:space="preserve"> </w:t>
      </w:r>
      <w:r>
        <w:rPr>
          <w:rStyle w:val="VerbatimChar"/>
        </w:rPr>
        <w:t xml:space="preserve">--solved-source field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Triage:</w:t>
      </w:r>
      <w:r>
        <w:t xml:space="preserve"> </w:t>
      </w:r>
      <w:r>
        <w:t xml:space="preserve">separate</w:t>
      </w:r>
      <w:r>
        <w:t xml:space="preserve"> </w:t>
      </w:r>
      <w:r>
        <w:rPr>
          <w:b/>
          <w:bCs/>
        </w:rPr>
        <w:t xml:space="preserve">method‑driven</w:t>
      </w:r>
      <w:r>
        <w:t xml:space="preserve"> </w:t>
      </w:r>
      <w:r>
        <w:t xml:space="preserve">vs</w:t>
      </w:r>
      <w:r>
        <w:t xml:space="preserve"> </w:t>
      </w:r>
      <w:r>
        <w:rPr>
          <w:b/>
          <w:bCs/>
        </w:rPr>
        <w:t xml:space="preserve">data‑gap–driven</w:t>
      </w:r>
      <w:r>
        <w:t xml:space="preserve"> </w:t>
      </w:r>
      <w:r>
        <w:t xml:space="preserve">clusters. Modern, large‑support pockets (e.g., ≥2010, ≥20 cases) get priority.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Deep‑dive:</w:t>
      </w:r>
      <w:r>
        <w:t xml:space="preserve"> </w:t>
      </w:r>
      <w:r>
        <w:t xml:space="preserve">use case dumps to sort by</w:t>
      </w:r>
      <w:r>
        <w:t xml:space="preserve"> </w:t>
      </w:r>
      <w:r>
        <w:rPr>
          <w:b/>
          <w:bCs/>
        </w:rPr>
        <w:t xml:space="preserve">ORI/Agency</w:t>
      </w:r>
      <w:r>
        <w:t xml:space="preserve">, year,</w:t>
      </w:r>
      <w:r>
        <w:t xml:space="preserve"> </w:t>
      </w:r>
      <w:r>
        <w:rPr>
          <w:rStyle w:val="VerbatimChar"/>
        </w:rPr>
        <w:t xml:space="preserve">Relationship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Circumstance</w:t>
      </w:r>
      <w:r>
        <w:t xml:space="preserve">. Look for one or two submitters driving the pocket.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Action: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Data gaps:</w:t>
      </w:r>
      <w:r>
        <w:t xml:space="preserve"> </w:t>
      </w:r>
      <w:r>
        <w:t xml:space="preserve">coding retraining, form fixes, NIBRS/SHR crosswalks.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Method pockets:</w:t>
      </w:r>
      <w:r>
        <w:t xml:space="preserve"> </w:t>
      </w:r>
      <w:r>
        <w:t xml:space="preserve">specialized investigative playbooks (e.g., asphyxia: ligature trace, forensic timelines, victimology linkage).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Re‑run</w:t>
      </w:r>
      <w:r>
        <w:t xml:space="preserve"> </w:t>
      </w:r>
      <w:r>
        <w:t xml:space="preserve">with the same flags to measure lift post‑intervention.</w:t>
      </w:r>
    </w:p>
    <w:p>
      <w:r>
        <w:pict>
          <v:rect style="width:0;height:1.5pt" o:hralign="center" o:hrstd="t" o:hr="t"/>
        </w:pict>
      </w:r>
    </w:p>
    <w:bookmarkEnd w:id="26"/>
    <w:bookmarkStart w:id="27" w:name="Xaea1fa473879921742df3dd76e48c44499e623d"/>
    <w:p>
      <w:pPr>
        <w:pStyle w:val="Heading2"/>
      </w:pPr>
      <w:r>
        <w:t xml:space="preserve">8) Hiring note: what skills this analyst needs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Pandas proficiency</w:t>
      </w:r>
      <w:r>
        <w:t xml:space="preserve"> </w:t>
      </w:r>
      <w:r>
        <w:t xml:space="preserve">(groupby, filtering, joins),</w:t>
      </w:r>
      <w:r>
        <w:t xml:space="preserve"> </w:t>
      </w:r>
      <w:r>
        <w:rPr>
          <w:b/>
          <w:bCs/>
        </w:rPr>
        <w:t xml:space="preserve">CSV hygiene</w:t>
      </w:r>
      <w:r>
        <w:t xml:space="preserve">, and comfort with Windows/PowerShell.</w:t>
      </w:r>
    </w:p>
    <w:p>
      <w:pPr>
        <w:pStyle w:val="Compact"/>
        <w:numPr>
          <w:ilvl w:val="0"/>
          <w:numId w:val="1005"/>
        </w:numPr>
      </w:pPr>
      <w:r>
        <w:t xml:space="preserve">Ability to produce</w:t>
      </w:r>
      <w:r>
        <w:t xml:space="preserve"> </w:t>
      </w:r>
      <w:r>
        <w:rPr>
          <w:b/>
          <w:bCs/>
        </w:rPr>
        <w:t xml:space="preserve">actionable triage memos</w:t>
      </w:r>
      <w:r>
        <w:t xml:space="preserve">: explain</w:t>
      </w:r>
      <w:r>
        <w:t xml:space="preserve"> </w:t>
      </w:r>
      <w:r>
        <w:rPr>
          <w:i/>
          <w:iCs/>
        </w:rPr>
        <w:t xml:space="preserve">why</w:t>
      </w:r>
      <w:r>
        <w:t xml:space="preserve"> </w:t>
      </w:r>
      <w:r>
        <w:t xml:space="preserve">a cluster popped (method vs data gap),</w:t>
      </w:r>
      <w:r>
        <w:t xml:space="preserve"> </w:t>
      </w:r>
      <w:r>
        <w:rPr>
          <w:i/>
          <w:iCs/>
        </w:rPr>
        <w:t xml:space="preserve">who</w:t>
      </w:r>
      <w:r>
        <w:t xml:space="preserve"> </w:t>
      </w:r>
      <w:r>
        <w:t xml:space="preserve">(agencies/ORIs),</w:t>
      </w:r>
      <w:r>
        <w:t xml:space="preserve"> </w:t>
      </w:r>
      <w:r>
        <w:rPr>
          <w:i/>
          <w:iCs/>
        </w:rPr>
        <w:t xml:space="preserve">when</w:t>
      </w:r>
      <w:r>
        <w:t xml:space="preserve"> </w:t>
      </w:r>
      <w:r>
        <w:t xml:space="preserve">(decade), and</w:t>
      </w:r>
      <w:r>
        <w:t xml:space="preserve"> </w:t>
      </w:r>
      <w:r>
        <w:rPr>
          <w:i/>
          <w:iCs/>
        </w:rPr>
        <w:t xml:space="preserve">what next</w:t>
      </w:r>
      <w:r>
        <w:t xml:space="preserve"> </w:t>
      </w:r>
      <w:r>
        <w:t xml:space="preserve">(QA or investigative).</w:t>
      </w:r>
    </w:p>
    <w:p>
      <w:pPr>
        <w:pStyle w:val="Compact"/>
        <w:numPr>
          <w:ilvl w:val="0"/>
          <w:numId w:val="1005"/>
        </w:numPr>
      </w:pPr>
      <w:r>
        <w:t xml:space="preserve">Basic</w:t>
      </w:r>
      <w:r>
        <w:t xml:space="preserve"> </w:t>
      </w:r>
      <w:r>
        <w:rPr>
          <w:b/>
          <w:bCs/>
        </w:rPr>
        <w:t xml:space="preserve">CJIS/PII</w:t>
      </w:r>
      <w:r>
        <w:t xml:space="preserve"> </w:t>
      </w:r>
      <w:r>
        <w:t xml:space="preserve">hygiene and chain‑of‑custody discipline for data extracts.</w:t>
      </w:r>
    </w:p>
    <w:p>
      <w:r>
        <w:pict>
          <v:rect style="width:0;height:1.5pt" o:hralign="center" o:hrstd="t" o:hr="t"/>
        </w:pict>
      </w:r>
    </w:p>
    <w:bookmarkEnd w:id="27"/>
    <w:bookmarkStart w:id="28" w:name="troubleshooting-fast-answers"/>
    <w:p>
      <w:pPr>
        <w:pStyle w:val="Heading2"/>
      </w:pPr>
      <w:r>
        <w:t xml:space="preserve">9) Troubleshooting (fast answers)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Empty table:</w:t>
      </w:r>
      <w:r>
        <w:t xml:space="preserve"> </w:t>
      </w:r>
      <w:r>
        <w:t xml:space="preserve">Your thresholds are too strict. Loosen</w:t>
      </w:r>
      <w:r>
        <w:t xml:space="preserve"> </w:t>
      </w:r>
      <w:r>
        <w:rPr>
          <w:rStyle w:val="VerbatimChar"/>
        </w:rPr>
        <w:t xml:space="preserve">--threshold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0.33</w:t>
      </w:r>
      <w:r>
        <w:t xml:space="preserve">) or lower</w:t>
      </w:r>
      <w:r>
        <w:t xml:space="preserve"> </w:t>
      </w:r>
      <w:r>
        <w:rPr>
          <w:rStyle w:val="VerbatimChar"/>
        </w:rPr>
        <w:t xml:space="preserve">--min-total</w:t>
      </w:r>
      <w:r>
        <w:t xml:space="preserve">, or widen the era via</w:t>
      </w:r>
      <w:r>
        <w:t xml:space="preserve"> </w:t>
      </w:r>
      <w:r>
        <w:rPr>
          <w:rStyle w:val="VerbatimChar"/>
        </w:rPr>
        <w:t xml:space="preserve">--min-decade 2000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“Anchorage/Unknown”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mega‑clusters:</w:t>
      </w:r>
      <w:r>
        <w:t xml:space="preserve"> </w:t>
      </w:r>
      <w:r>
        <w:t xml:space="preserve">Use the latest script with</w:t>
      </w:r>
      <w:r>
        <w:t xml:space="preserve"> </w:t>
      </w:r>
      <w:r>
        <w:rPr>
          <w:b/>
          <w:bCs/>
        </w:rPr>
        <w:t xml:space="preserve">hash fallback</w:t>
      </w:r>
      <w:r>
        <w:t xml:space="preserve"> </w:t>
      </w:r>
      <w:r>
        <w:t xml:space="preserve">and label grouping; switch to</w:t>
      </w:r>
      <w:r>
        <w:t xml:space="preserve"> </w:t>
      </w:r>
      <w:r>
        <w:rPr>
          <w:rStyle w:val="VerbatimChar"/>
        </w:rPr>
        <w:t xml:space="preserve">--group msa</w:t>
      </w:r>
      <w:r>
        <w:t xml:space="preserve"> </w:t>
      </w:r>
      <w:r>
        <w:t xml:space="preserve">if county codes are messy.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OffSex proxy inflated unsolved:</w:t>
      </w:r>
      <w:r>
        <w:t xml:space="preserve"> </w:t>
      </w:r>
      <w:r>
        <w:t xml:space="preserve">Always use</w:t>
      </w:r>
      <w:r>
        <w:t xml:space="preserve"> </w:t>
      </w:r>
      <w:r>
        <w:rPr>
          <w:rStyle w:val="VerbatimChar"/>
        </w:rPr>
        <w:t xml:space="preserve">--solved-source field</w:t>
      </w:r>
      <w:r>
        <w:t xml:space="preserve"> </w:t>
      </w:r>
      <w:r>
        <w:t xml:space="preserve">when the dataset has a</w:t>
      </w:r>
      <w:r>
        <w:t xml:space="preserve"> </w:t>
      </w:r>
      <w:r>
        <w:rPr>
          <w:rStyle w:val="VerbatimChar"/>
        </w:rPr>
        <w:t xml:space="preserve">Solved</w:t>
      </w:r>
      <w:r>
        <w:t xml:space="preserve"> </w:t>
      </w:r>
      <w:r>
        <w:t xml:space="preserve">column.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KeyError on label columns:</w:t>
      </w:r>
      <w:r>
        <w:t xml:space="preserve"> </w:t>
      </w:r>
      <w:r>
        <w:t xml:space="preserve">Don’t aggregate a column that’s also in your groupby keys (we patched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Regex</w:t>
      </w:r>
      <w:r>
        <w:rPr>
          <w:b/>
          <w:bCs/>
        </w:rP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didn’t count</w:t>
      </w:r>
      <w:r>
        <w:rPr>
          <w:b/>
          <w:bCs/>
        </w:rPr>
        <w:t xml:space="preserve"> </w:t>
      </w:r>
      <w:r>
        <w:rPr>
          <w:b/>
          <w:bCs/>
        </w:rPr>
        <w:t xml:space="preserve">‘undetermined’</w:t>
      </w:r>
      <w:r>
        <w:rPr>
          <w:b/>
          <w:bCs/>
        </w:rPr>
        <w:t xml:space="preserve">:</w:t>
      </w:r>
      <w:r>
        <w:t xml:space="preserve"> </w:t>
      </w:r>
      <w:r>
        <w:t xml:space="preserve">The updated helper counts</w:t>
      </w:r>
      <w:r>
        <w:t xml:space="preserve"> </w:t>
      </w:r>
      <w:r>
        <w:rPr>
          <w:rStyle w:val="VerbatimChar"/>
        </w:rPr>
        <w:t xml:space="preserve">unknown/not determined/undetermined/unspecified/blank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privacy-security-ethics"/>
    <w:p>
      <w:pPr>
        <w:pStyle w:val="Heading2"/>
      </w:pPr>
      <w:r>
        <w:t xml:space="preserve">10) Privacy, security &amp; ethics</w:t>
      </w:r>
    </w:p>
    <w:p>
      <w:pPr>
        <w:pStyle w:val="Compact"/>
        <w:numPr>
          <w:ilvl w:val="0"/>
          <w:numId w:val="1007"/>
        </w:numPr>
      </w:pPr>
      <w:r>
        <w:t xml:space="preserve">Keep extracts on secured drives; follow agency data‑handling SOPs.</w:t>
      </w:r>
    </w:p>
    <w:p>
      <w:pPr>
        <w:pStyle w:val="Compact"/>
        <w:numPr>
          <w:ilvl w:val="0"/>
          <w:numId w:val="1007"/>
        </w:numPr>
      </w:pPr>
      <w:r>
        <w:t xml:space="preserve">Limit case‑level dumps to personnel with a need‑to‑know; redact PII where policy requires.</w:t>
      </w:r>
    </w:p>
    <w:p>
      <w:pPr>
        <w:pStyle w:val="Compact"/>
        <w:numPr>
          <w:ilvl w:val="0"/>
          <w:numId w:val="1007"/>
        </w:numPr>
      </w:pPr>
      <w:r>
        <w:t xml:space="preserve">Treat</w:t>
      </w:r>
      <w:r>
        <w:t xml:space="preserve"> </w:t>
      </w:r>
      <w:r>
        <w:t xml:space="preserve">“data‑gap”</w:t>
      </w:r>
      <w:r>
        <w:t xml:space="preserve"> </w:t>
      </w:r>
      <w:r>
        <w:t xml:space="preserve">findings as opportunities for</w:t>
      </w:r>
      <w:r>
        <w:t xml:space="preserve"> </w:t>
      </w:r>
      <w:r>
        <w:rPr>
          <w:b/>
          <w:bCs/>
        </w:rPr>
        <w:t xml:space="preserve">training and system fixes</w:t>
      </w:r>
      <w:r>
        <w:t xml:space="preserve">, not blame. The target is</w:t>
      </w:r>
      <w:r>
        <w:t xml:space="preserve"> </w:t>
      </w:r>
      <w:r>
        <w:rPr>
          <w:b/>
          <w:bCs/>
        </w:rPr>
        <w:t xml:space="preserve">better clearance</w:t>
      </w:r>
      <w:r>
        <w:t xml:space="preserve">, not scorekeeping.</w:t>
      </w:r>
    </w:p>
    <w:p>
      <w:r>
        <w:pict>
          <v:rect style="width:0;height:1.5pt" o:hralign="center" o:hrstd="t" o:hr="t"/>
        </w:pict>
      </w:r>
    </w:p>
    <w:bookmarkEnd w:id="29"/>
    <w:bookmarkStart w:id="30" w:name="appendix-example-recipes"/>
    <w:p>
      <w:pPr>
        <w:pStyle w:val="Heading2"/>
      </w:pPr>
      <w:r>
        <w:t xml:space="preserve">11) Appendix: example recipes</w:t>
      </w:r>
    </w:p>
    <w:p>
      <w:pPr>
        <w:pStyle w:val="FirstParagraph"/>
      </w:pPr>
      <w:r>
        <w:rPr>
          <w:b/>
          <w:bCs/>
        </w:rPr>
        <w:t xml:space="preserve">Modern near‑outliers (female/MSA):</w:t>
      </w:r>
    </w:p>
    <w:p>
      <w:pPr>
        <w:pStyle w:val="SourceCode"/>
      </w:pPr>
      <w:r>
        <w:rPr>
          <w:rStyle w:val="NormalTok"/>
        </w:rPr>
        <w:t xml:space="preserve">python map_cluster.py SHR.csv -</w:t>
      </w:r>
      <w:r>
        <w:rPr>
          <w:rStyle w:val="AttributeTok"/>
        </w:rPr>
        <w:t xml:space="preserve">-group</w:t>
      </w:r>
      <w:r>
        <w:rPr>
          <w:rStyle w:val="NormalTok"/>
        </w:rPr>
        <w:t xml:space="preserve"> msa -</w:t>
      </w:r>
      <w:r>
        <w:rPr>
          <w:rStyle w:val="AttributeTok"/>
        </w:rPr>
        <w:t xml:space="preserve">-solved-source</w:t>
      </w:r>
      <w:r>
        <w:rPr>
          <w:rStyle w:val="NormalTok"/>
        </w:rPr>
        <w:t xml:space="preserve"> field -</w:t>
      </w:r>
      <w:r>
        <w:rPr>
          <w:rStyle w:val="AttributeTok"/>
        </w:rPr>
        <w:t xml:space="preserve">-focus-sex</w:t>
      </w:r>
      <w:r>
        <w:rPr>
          <w:rStyle w:val="NormalTok"/>
        </w:rPr>
        <w:t xml:space="preserve"> female ^</w:t>
      </w:r>
      <w:r>
        <w:br/>
      </w:r>
      <w:r>
        <w:rPr>
          <w:rStyle w:val="NormalTok"/>
        </w:rPr>
        <w:t xml:space="preserve">  --relcirc -</w:t>
      </w:r>
      <w:r>
        <w:rPr>
          <w:rStyle w:val="AttributeTok"/>
        </w:rPr>
        <w:t xml:space="preserve">-min-decade</w:t>
      </w:r>
      <w:r>
        <w:rPr>
          <w:rStyle w:val="NormalTok"/>
        </w:rPr>
        <w:t xml:space="preserve"> 2010 -</w:t>
      </w:r>
      <w:r>
        <w:rPr>
          <w:rStyle w:val="AttributeTok"/>
        </w:rPr>
        <w:t xml:space="preserve">-min-total</w:t>
      </w:r>
      <w:r>
        <w:rPr>
          <w:rStyle w:val="NormalTok"/>
        </w:rPr>
        <w:t xml:space="preserve"> 20 -</w:t>
      </w:r>
      <w:r>
        <w:rPr>
          <w:rStyle w:val="AttributeTok"/>
        </w:rPr>
        <w:t xml:space="preserve">-threshold</w:t>
      </w:r>
      <w:r>
        <w:rPr>
          <w:rStyle w:val="NormalTok"/>
        </w:rPr>
        <w:t xml:space="preserve"> 0.33 -</w:t>
      </w:r>
      <w:r>
        <w:rPr>
          <w:rStyle w:val="AttributeTok"/>
        </w:rPr>
        <w:t xml:space="preserve">-top</w:t>
      </w:r>
      <w:r>
        <w:rPr>
          <w:rStyle w:val="NormalTok"/>
        </w:rPr>
        <w:t xml:space="preserve"> 20 -</w:t>
      </w:r>
      <w:r>
        <w:rPr>
          <w:rStyle w:val="AttributeTok"/>
        </w:rPr>
        <w:t xml:space="preserve">-outdir</w:t>
      </w:r>
      <w:r>
        <w:rPr>
          <w:rStyle w:val="NormalTok"/>
        </w:rPr>
        <w:t xml:space="preserve"> out</w:t>
      </w:r>
    </w:p>
    <w:p>
      <w:pPr>
        <w:pStyle w:val="FirstParagraph"/>
      </w:pPr>
      <w:r>
        <w:rPr>
          <w:b/>
          <w:bCs/>
        </w:rPr>
        <w:t xml:space="preserve">Method pockets only (strangulation):</w:t>
      </w:r>
    </w:p>
    <w:p>
      <w:pPr>
        <w:pStyle w:val="SourceCode"/>
      </w:pPr>
      <w:r>
        <w:rPr>
          <w:rStyle w:val="NormalTok"/>
        </w:rPr>
        <w:t xml:space="preserve">python map_cluster.py SHR.csv -</w:t>
      </w:r>
      <w:r>
        <w:rPr>
          <w:rStyle w:val="AttributeTok"/>
        </w:rPr>
        <w:t xml:space="preserve">-group</w:t>
      </w:r>
      <w:r>
        <w:rPr>
          <w:rStyle w:val="NormalTok"/>
        </w:rPr>
        <w:t xml:space="preserve"> msa -</w:t>
      </w:r>
      <w:r>
        <w:rPr>
          <w:rStyle w:val="AttributeTok"/>
        </w:rPr>
        <w:t xml:space="preserve">-solved-source</w:t>
      </w:r>
      <w:r>
        <w:rPr>
          <w:rStyle w:val="NormalTok"/>
        </w:rPr>
        <w:t xml:space="preserve"> field -</w:t>
      </w:r>
      <w:r>
        <w:rPr>
          <w:rStyle w:val="AttributeTok"/>
        </w:rPr>
        <w:t xml:space="preserve">-focus-sex</w:t>
      </w:r>
      <w:r>
        <w:rPr>
          <w:rStyle w:val="NormalTok"/>
        </w:rPr>
        <w:t xml:space="preserve"> female ^</w:t>
      </w:r>
      <w:r>
        <w:br/>
      </w:r>
      <w:r>
        <w:rPr>
          <w:rStyle w:val="NormalTok"/>
        </w:rPr>
        <w:t xml:space="preserve">  --relcirc -</w:t>
      </w:r>
      <w:r>
        <w:rPr>
          <w:rStyle w:val="AttributeTok"/>
        </w:rPr>
        <w:t xml:space="preserve">-min-decade</w:t>
      </w:r>
      <w:r>
        <w:rPr>
          <w:rStyle w:val="NormalTok"/>
        </w:rPr>
        <w:t xml:space="preserve"> 2000 -</w:t>
      </w:r>
      <w:r>
        <w:rPr>
          <w:rStyle w:val="AttributeTok"/>
        </w:rPr>
        <w:t xml:space="preserve">-min-total</w:t>
      </w:r>
      <w:r>
        <w:rPr>
          <w:rStyle w:val="NormalTok"/>
        </w:rPr>
        <w:t xml:space="preserve"> 15 -</w:t>
      </w:r>
      <w:r>
        <w:rPr>
          <w:rStyle w:val="AttributeTok"/>
        </w:rPr>
        <w:t xml:space="preserve">-threshold</w:t>
      </w:r>
      <w:r>
        <w:rPr>
          <w:rStyle w:val="NormalTok"/>
        </w:rPr>
        <w:t xml:space="preserve"> 0.33 -</w:t>
      </w:r>
      <w:r>
        <w:rPr>
          <w:rStyle w:val="AttributeTok"/>
        </w:rPr>
        <w:t xml:space="preserve">-top</w:t>
      </w:r>
      <w:r>
        <w:rPr>
          <w:rStyle w:val="NormalTok"/>
        </w:rPr>
        <w:t xml:space="preserve"> 20 -</w:t>
      </w:r>
      <w:r>
        <w:rPr>
          <w:rStyle w:val="AttributeTok"/>
        </w:rPr>
        <w:t xml:space="preserve">-outdir</w:t>
      </w:r>
      <w:r>
        <w:rPr>
          <w:rStyle w:val="NormalTok"/>
        </w:rPr>
        <w:t xml:space="preserve"> out</w:t>
      </w:r>
    </w:p>
    <w:p>
      <w:pPr>
        <w:pStyle w:val="FirstParagraph"/>
      </w:pPr>
      <w:r>
        <w:rPr>
          <w:b/>
          <w:bCs/>
        </w:rPr>
        <w:t xml:space="preserve">Data‑gap pockets only (weapon under‑specified):</w:t>
      </w:r>
    </w:p>
    <w:p>
      <w:pPr>
        <w:pStyle w:val="SourceCode"/>
      </w:pPr>
      <w:r>
        <w:rPr>
          <w:rStyle w:val="NormalTok"/>
        </w:rPr>
        <w:t xml:space="preserve">python map_cluster.py SHR.csv -</w:t>
      </w:r>
      <w:r>
        <w:rPr>
          <w:rStyle w:val="AttributeTok"/>
        </w:rPr>
        <w:t xml:space="preserve">-group</w:t>
      </w:r>
      <w:r>
        <w:rPr>
          <w:rStyle w:val="NormalTok"/>
        </w:rPr>
        <w:t xml:space="preserve"> msa -</w:t>
      </w:r>
      <w:r>
        <w:rPr>
          <w:rStyle w:val="AttributeTok"/>
        </w:rPr>
        <w:t xml:space="preserve">-solved-source</w:t>
      </w:r>
      <w:r>
        <w:rPr>
          <w:rStyle w:val="NormalTok"/>
        </w:rPr>
        <w:t xml:space="preserve"> field -</w:t>
      </w:r>
      <w:r>
        <w:rPr>
          <w:rStyle w:val="AttributeTok"/>
        </w:rPr>
        <w:t xml:space="preserve">-focus-sex</w:t>
      </w:r>
      <w:r>
        <w:rPr>
          <w:rStyle w:val="NormalTok"/>
        </w:rPr>
        <w:t xml:space="preserve"> female ^</w:t>
      </w:r>
      <w:r>
        <w:br/>
      </w:r>
      <w:r>
        <w:rPr>
          <w:rStyle w:val="NormalTok"/>
        </w:rPr>
        <w:t xml:space="preserve">  --relcirc -</w:t>
      </w:r>
      <w:r>
        <w:rPr>
          <w:rStyle w:val="AttributeTok"/>
        </w:rPr>
        <w:t xml:space="preserve">-min-decade</w:t>
      </w:r>
      <w:r>
        <w:rPr>
          <w:rStyle w:val="NormalTok"/>
        </w:rPr>
        <w:t xml:space="preserve"> 2000 -</w:t>
      </w:r>
      <w:r>
        <w:rPr>
          <w:rStyle w:val="AttributeTok"/>
        </w:rPr>
        <w:t xml:space="preserve">-min-total</w:t>
      </w:r>
      <w:r>
        <w:rPr>
          <w:rStyle w:val="NormalTok"/>
        </w:rPr>
        <w:t xml:space="preserve"> 15 -</w:t>
      </w:r>
      <w:r>
        <w:rPr>
          <w:rStyle w:val="AttributeTok"/>
        </w:rPr>
        <w:t xml:space="preserve">-threshold</w:t>
      </w:r>
      <w:r>
        <w:rPr>
          <w:rStyle w:val="NormalTok"/>
        </w:rPr>
        <w:t xml:space="preserve"> 0.33 -</w:t>
      </w:r>
      <w:r>
        <w:rPr>
          <w:rStyle w:val="AttributeTok"/>
        </w:rPr>
        <w:t xml:space="preserve">-top</w:t>
      </w:r>
      <w:r>
        <w:rPr>
          <w:rStyle w:val="NormalTok"/>
        </w:rPr>
        <w:t xml:space="preserve"> 20 -</w:t>
      </w:r>
      <w:r>
        <w:rPr>
          <w:rStyle w:val="AttributeTok"/>
        </w:rPr>
        <w:t xml:space="preserve">-outdir</w:t>
      </w:r>
      <w:r>
        <w:rPr>
          <w:rStyle w:val="NormalTok"/>
        </w:rPr>
        <w:t xml:space="preserve"> out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Version notes</w:t>
      </w:r>
      <w:r>
        <w:t xml:space="preserve"> </w:t>
      </w:r>
      <w:r>
        <w:t xml:space="preserve">- Hash fallback for text county/MSA is deterministic (MD5 modulo). Re‑running with the same inputs yields the same clusters.</w:t>
      </w:r>
      <w:r>
        <w:t xml:space="preserve"> </w:t>
      </w:r>
      <w:r>
        <w:t xml:space="preserve">- The tool never uploads data; all processing is local.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Prepared for agency leadership evaluating analyst workflows that use the MAP‑style clustering approach.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2025-09-30T05:54:44Z</dcterms:created>
  <dcterms:modified xsi:type="dcterms:W3CDTF">2025-09-30T05:54:44Z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