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4">
      <w:pPr>
        <w:spacing w:after="0" w:line="48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5">
      <w:pPr>
        <w:spacing w:after="0" w:line="480" w:lineRule="auto"/>
        <w:rPr>
          <w:rFonts w:ascii="Times New Roman" w:cs="Times New Roman" w:eastAsia="Times New Roman" w:hAnsi="Times New Roman"/>
          <w:color w:val="000000"/>
          <w:sz w:val="24"/>
          <w:szCs w:val="24"/>
          <w:highlight w:val="white"/>
          <w:vertAlign w:val="baseline"/>
        </w:rPr>
      </w:pPr>
      <w:r w:rsidDel="00000000" w:rsidR="00000000" w:rsidRPr="00000000">
        <w:rPr>
          <w:rtl w:val="0"/>
        </w:rPr>
      </w:r>
    </w:p>
    <w:p w:rsidR="00000000" w:rsidDel="00000000" w:rsidP="00000000" w:rsidRDefault="00000000" w:rsidRPr="00000000" w14:paraId="00000006">
      <w:pPr>
        <w:spacing w:after="0" w:line="480" w:lineRule="auto"/>
        <w:rPr>
          <w:rFonts w:ascii="Times New Roman" w:cs="Times New Roman" w:eastAsia="Times New Roman" w:hAnsi="Times New Roman"/>
          <w:color w:val="000000"/>
          <w:sz w:val="24"/>
          <w:szCs w:val="24"/>
          <w:highlight w:val="white"/>
          <w:vertAlign w:val="baseline"/>
        </w:rPr>
      </w:pPr>
      <w:r w:rsidDel="00000000" w:rsidR="00000000" w:rsidRPr="00000000">
        <w:rPr>
          <w:rtl w:val="0"/>
        </w:rPr>
      </w:r>
    </w:p>
    <w:p w:rsidR="00000000" w:rsidDel="00000000" w:rsidP="00000000" w:rsidRDefault="00000000" w:rsidRPr="00000000" w14:paraId="00000007">
      <w:pP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tl w:val="0"/>
        </w:rPr>
      </w:r>
    </w:p>
    <w:p w:rsidR="00000000" w:rsidDel="00000000" w:rsidP="00000000" w:rsidRDefault="00000000" w:rsidRPr="00000000" w14:paraId="00000008">
      <w:pPr>
        <w:spacing w:after="0" w:line="480" w:lineRule="auto"/>
        <w:jc w:val="center"/>
        <w:rPr>
          <w:rFonts w:ascii="Times New Roman" w:cs="Times New Roman" w:eastAsia="Times New Roman" w:hAnsi="Times New Roman"/>
          <w:b w:val="0"/>
          <w:bCs w:val="0"/>
          <w:color w:val="000000"/>
          <w:sz w:val="24"/>
          <w:szCs w:val="24"/>
          <w:highlight w:val="white"/>
          <w:vertAlign w:val="baseline"/>
        </w:rPr>
      </w:pPr>
      <w:r w:rsidDel="00000000" w:rsidR="00000000" w:rsidRPr="00000000">
        <w:rPr>
          <w:rFonts w:ascii="Times New Roman" w:cs="Times New Roman" w:eastAsia="Times New Roman" w:hAnsi="Times New Roman"/>
          <w:b w:val="1"/>
          <w:bCs w:val="1"/>
          <w:sz w:val="24"/>
          <w:szCs w:val="24"/>
          <w:highlight w:val="white"/>
          <w:rtl w:val="0"/>
        </w:rPr>
        <w:t xml:space="preserve">Research Proposal</w:t>
      </w:r>
      <w:r w:rsidDel="00000000" w:rsidR="00000000" w:rsidRPr="00000000">
        <w:rPr>
          <w:rtl w:val="0"/>
        </w:rPr>
      </w:r>
    </w:p>
    <w:p w:rsidR="00000000" w:rsidDel="00000000" w:rsidP="00000000" w:rsidRDefault="00000000" w:rsidRPr="00000000" w14:paraId="00000009">
      <w:pPr>
        <w:spacing w:after="0" w:line="480" w:lineRule="auto"/>
        <w:jc w:val="center"/>
        <w:rPr>
          <w:rFonts w:ascii="Times New Roman" w:cs="Times New Roman" w:eastAsia="Times New Roman" w:hAnsi="Times New Roman"/>
          <w:b w:val="0"/>
          <w:bCs w:val="0"/>
          <w:color w:val="000000"/>
          <w:sz w:val="24"/>
          <w:szCs w:val="24"/>
          <w:highlight w:val="white"/>
          <w:vertAlign w:val="baseline"/>
        </w:rPr>
      </w:pPr>
      <w:r w:rsidDel="00000000" w:rsidR="00000000" w:rsidRPr="00000000">
        <w:rPr>
          <w:rtl w:val="0"/>
        </w:rPr>
      </w:r>
    </w:p>
    <w:p w:rsidR="00000000" w:rsidDel="00000000" w:rsidP="00000000" w:rsidRDefault="00000000" w:rsidRPr="00000000" w14:paraId="0000000A">
      <w:pP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Ryan Durkin</w:t>
      </w:r>
      <w:r w:rsidDel="00000000" w:rsidR="00000000" w:rsidRPr="00000000">
        <w:rPr>
          <w:rtl w:val="0"/>
        </w:rPr>
      </w:r>
    </w:p>
    <w:p w:rsidR="00000000" w:rsidDel="00000000" w:rsidP="00000000" w:rsidRDefault="00000000" w:rsidRPr="00000000" w14:paraId="0000000B">
      <w:pP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Colorado State University Global</w:t>
      </w:r>
    </w:p>
    <w:p w:rsidR="00000000" w:rsidDel="00000000" w:rsidP="00000000" w:rsidRDefault="00000000" w:rsidRPr="00000000" w14:paraId="0000000C">
      <w:pP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MIS581: Capstone - Business Intelligence and Data Analytics</w:t>
      </w:r>
      <w:r w:rsidDel="00000000" w:rsidR="00000000" w:rsidRPr="00000000">
        <w:rPr>
          <w:rtl w:val="0"/>
        </w:rPr>
      </w:r>
    </w:p>
    <w:p w:rsidR="00000000" w:rsidDel="00000000" w:rsidP="00000000" w:rsidRDefault="00000000" w:rsidRPr="00000000" w14:paraId="0000000D">
      <w:pPr>
        <w:spacing w:after="0" w:line="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Justin Bateh</w:t>
      </w:r>
    </w:p>
    <w:p w:rsidR="00000000" w:rsidDel="00000000" w:rsidP="00000000" w:rsidRDefault="00000000" w:rsidRPr="00000000" w14:paraId="0000000E">
      <w:pP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8/23/2026</w:t>
      </w: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1">
      <w:pPr>
        <w:tabs>
          <w:tab w:val="left" w:leader="none" w:pos="3355"/>
        </w:tabs>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r>
    </w:p>
    <w:p w:rsidR="00000000" w:rsidDel="00000000" w:rsidP="00000000" w:rsidRDefault="00000000" w:rsidRPr="00000000" w14:paraId="00000012">
      <w:pPr>
        <w:jc w:val="center"/>
        <w:rPr>
          <w:rFonts w:ascii="Times New Roman" w:cs="Times New Roman" w:eastAsia="Times New Roman" w:hAnsi="Times New Roman"/>
          <w:b w:val="1"/>
          <w:bCs w:val="1"/>
          <w:sz w:val="24"/>
          <w:szCs w:val="24"/>
          <w:highlight w:val="white"/>
        </w:rPr>
      </w:pPr>
      <w:r w:rsidDel="00000000" w:rsidR="00000000" w:rsidRPr="00000000">
        <w:br w:type="page"/>
      </w:r>
      <w:r w:rsidDel="00000000" w:rsidR="00000000" w:rsidRPr="00000000">
        <w:rPr>
          <w:rFonts w:ascii="Times New Roman" w:cs="Times New Roman" w:eastAsia="Times New Roman" w:hAnsi="Times New Roman"/>
          <w:b w:val="1"/>
          <w:bCs w:val="1"/>
          <w:sz w:val="24"/>
          <w:szCs w:val="24"/>
          <w:highlight w:val="white"/>
          <w:rtl w:val="0"/>
        </w:rPr>
        <w:t xml:space="preserve">Research Proposal</w:t>
      </w:r>
    </w:p>
    <w:p w:rsidR="00000000" w:rsidDel="00000000" w:rsidP="00000000" w:rsidRDefault="00000000" w:rsidRPr="00000000" w14:paraId="00000013">
      <w:pPr>
        <w:spacing w:after="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 Online features one of the most complex, player-driven virtual economies in existence, presenting a unique, self-contained ecosystem that closely mirrors real-world macroeconomic and microeconomic dynamics (Parkkila, Ikonen, &amp; Porras, 2015). At its core, the game’s economy is fueled by millions of daily transactions involving raw materials extraction, localized manufacturing, and complex supply chain logistics across thousands of interconnected solar systems. The microeconomic layer is driven by individual player decisions, such as pricing strategies for specific item types, localized supply and demand shocks, and profit margin optimizations at regional trade hubs like Jita. Conversely, the macroeconomic layer encompasses broader systemic trends, including the total ISK (Interstellar Kredits) money supply, aggregate trade volumes, and inflation or deflation driven by developer-introduced patches or massive player-driven conflicts.</w:t>
      </w:r>
    </w:p>
    <w:p w:rsidR="00000000" w:rsidDel="00000000" w:rsidP="00000000" w:rsidRDefault="00000000" w:rsidRPr="00000000" w14:paraId="00000014">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this environment is fundamentally important because it serves as a perfect sandbox for economic analysis and advanced data modeling. Analyzing market price datasets and ISK trade volumes allows for the observation of pure economic principles without the unpredictable noise of real-world politics or unrecorded black markets. By visualizing these complex datasets through dimensional modeling and advanced visualization techniques, analysts can uncover hidden market inefficiencies, track the velocity of currency, and predict the impact of specific supply shocks, rendering EVE Online an ideal environment for advanced economic research.</w:t>
      </w:r>
    </w:p>
    <w:p w:rsidR="00000000" w:rsidDel="00000000" w:rsidP="00000000" w:rsidRDefault="00000000" w:rsidRPr="00000000" w14:paraId="00000016">
      <w:pPr>
        <w:spacing w:after="0"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Problem/Purpose Statement</w:t>
      </w:r>
    </w:p>
    <w:p w:rsidR="00000000" w:rsidDel="00000000" w:rsidP="00000000" w:rsidRDefault="00000000" w:rsidRPr="00000000" w14:paraId="0000001A">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Despite the wealth of transactional data generated within EVE Online, there remains a significant challenge in effectively synthesizing and interpreting this vast amount of market information to make accurate, predictive economic decisions. The primary issue this research addresses is the severe information asymmetry and market volatility that plagues commodity trading across different planetary systems and trade hubs (Epifanovskaya et al., 2018). While the environment provides raw market price datasets and intricate item type classifications, the sheer volume of micro-transactions and shifting ISK trade volumes often obscures broader macroeconomic trends, such as systemic inflation or creeping supply chain bottlenecks.</w:t>
      </w:r>
    </w:p>
    <w:p w:rsidR="00000000" w:rsidDel="00000000" w:rsidP="00000000" w:rsidRDefault="00000000" w:rsidRPr="00000000" w14:paraId="0000001B">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Consequently, market participants and by extension, economic observers, struggle to isolate genuine market signals from localized noise. The purpose of this capstone project is to systematically ingest, model, and analyze EVE Online’s market data to identify actionable patterns in price fluctuations and trade volume velocities. Specifically, this research will focus on developing a robust analytical framework that processes high-velocity trade data to detect early warning signs of resource scarcity or oversupply in key industrial sectors. By addressing this analytical gap, the project aims to demonstrate how advanced data modeling can transform raw, decentralized transaction logs into cohesive economic intelligence, solving the problem of delayed market responsiveness in highly complex, decentralized trading environments.</w:t>
      </w:r>
    </w:p>
    <w:p w:rsidR="00000000" w:rsidDel="00000000" w:rsidP="00000000" w:rsidRDefault="00000000" w:rsidRPr="00000000" w14:paraId="0000001D">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Aims/Objectives/Goals</w:t>
      </w:r>
    </w:p>
    <w:p w:rsidR="00000000" w:rsidDel="00000000" w:rsidP="00000000" w:rsidRDefault="00000000" w:rsidRPr="00000000" w14:paraId="0000001F">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primary goal of this research is to construct a comprehensive economic data model that tracks and visualizes ISK trade volumes and price fluctuations across EVE Online’s markets. Key objectives include mapping item-type dependencies, identifying macroeconomic pricing inefficiencies at local hubs, and analyzing macroeconomic trends to forecast systemic supply shocks.</w:t>
      </w:r>
    </w:p>
    <w:p w:rsidR="00000000" w:rsidDel="00000000" w:rsidP="00000000" w:rsidRDefault="00000000" w:rsidRPr="00000000" w14:paraId="00000020">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0"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Organizational Benefits</w:t>
      </w:r>
    </w:p>
    <w:p w:rsidR="00000000" w:rsidDel="00000000" w:rsidP="00000000" w:rsidRDefault="00000000" w:rsidRPr="00000000" w14:paraId="00000022">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The findings and methodologies developed through this capstone project offer substantial organizational benefits, particularly for entities reliant on data analytics to navigate complex, volatile markets. In an environment that increasingly relies on datafication to extract actionable intelligence from user metadata, building these analytical models directly enhances modern business intelligence capabilities (Kerr, 2023). First, by successfully modeling EVE Online’s intricate economic environment, an organization can validate and refine its internal data processing architectures and advanced visualization techniques. Implementing advanced data visualization techniques such as radial and sunburst charts to map out millions of ISK transactions and multi-layered item type dependencies, directly translated to improved business intelligence capabilities in real-world applications. It closes a gap in traditional analytical training by demonstrating how to handle massive, unstructured transactional datasets and convert them into clear, actionable dashboards.</w:t>
      </w:r>
    </w:p>
    <w:p w:rsidR="00000000" w:rsidDel="00000000" w:rsidP="00000000" w:rsidRDefault="00000000" w:rsidRPr="00000000" w14:paraId="00000023">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Solving the problem of information asymmetry in a virtual environment provides a functional blueprint for addressing similar real-world macroeconomic and microeconomic challenges. For an economic analysis team, the ability to track aggregate money supply against hyper-localized commodity pricing allows for the development of superior predictive models. This also presents a unique opportunity to implement anomaly detection systems that can flag sudden market shifts or supply chain disruptions before they materialize, allowing an organization to pivot its strategies proactively.</w:t>
      </w:r>
    </w:p>
    <w:p w:rsidR="00000000" w:rsidDel="00000000" w:rsidP="00000000" w:rsidRDefault="00000000" w:rsidRPr="00000000" w14:paraId="00000025">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organizational benefit lies in the creation of a highly adaptable analytical framework. By bridging the gap between theoretical economic principles and practical data modeling, this project cultivates a higher standard of empirical decision making. The skills, models, and analytical tools created in this sandbox can be directly ported to enterprise environments, equipping stakeholders with the intelligence necessary to leverage complex market data, optimize financial strategies, and maintain a competitive edge.</w:t>
      </w:r>
    </w:p>
    <w:p w:rsidR="00000000" w:rsidDel="00000000" w:rsidP="00000000" w:rsidRDefault="00000000" w:rsidRPr="00000000" w14:paraId="00000027">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0"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36">
      <w:pPr>
        <w:spacing w:after="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Epifanovskaya, L., Lakkaraju, K., Letchford, J., Stites, M., &amp; Reinhardt, J. (2018). Toward a quantitative approach to data gathering and analysis for nuclear deterrence policy. </w:t>
      </w:r>
      <w:r w:rsidDel="00000000" w:rsidR="00000000" w:rsidRPr="00000000">
        <w:rPr>
          <w:rFonts w:ascii="Times New Roman" w:cs="Times New Roman" w:eastAsia="Times New Roman" w:hAnsi="Times New Roman"/>
          <w:i w:val="1"/>
          <w:iCs w:val="1"/>
          <w:sz w:val="24"/>
          <w:szCs w:val="24"/>
          <w:rtl w:val="0"/>
        </w:rPr>
        <w:t xml:space="preserve">Springer Proceedings in Complexity, </w:t>
      </w:r>
      <w:r w:rsidDel="00000000" w:rsidR="00000000" w:rsidRPr="00000000">
        <w:rPr>
          <w:rFonts w:ascii="Times New Roman" w:cs="Times New Roman" w:eastAsia="Times New Roman" w:hAnsi="Times New Roman"/>
          <w:sz w:val="24"/>
          <w:szCs w:val="24"/>
          <w:rtl w:val="0"/>
        </w:rPr>
        <w:t xml:space="preserve">245-252. </w:t>
      </w:r>
      <w:hyperlink r:id="rId6">
        <w:r w:rsidDel="00000000" w:rsidR="00000000" w:rsidRPr="00000000">
          <w:rPr>
            <w:rFonts w:ascii="Times New Roman" w:cs="Times New Roman" w:eastAsia="Times New Roman" w:hAnsi="Times New Roman"/>
            <w:color w:val="1155cc"/>
            <w:sz w:val="24"/>
            <w:szCs w:val="24"/>
            <w:u w:val="single"/>
            <w:rtl w:val="0"/>
          </w:rPr>
          <w:t xml:space="preserve">https://link.springer.com/chapter/10.1007/978-3-319-96661-8_26</w:t>
        </w:r>
      </w:hyperlink>
      <w:r w:rsidDel="00000000" w:rsidR="00000000" w:rsidRPr="00000000">
        <w:rPr>
          <w:rtl w:val="0"/>
        </w:rPr>
      </w:r>
    </w:p>
    <w:p w:rsidR="00000000" w:rsidDel="00000000" w:rsidP="00000000" w:rsidRDefault="00000000" w:rsidRPr="00000000" w14:paraId="00000037">
      <w:pPr>
        <w:spacing w:after="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Kerr, A. (2023). Economy. </w:t>
      </w:r>
      <w:r w:rsidDel="00000000" w:rsidR="00000000" w:rsidRPr="00000000">
        <w:rPr>
          <w:rFonts w:ascii="Times New Roman" w:cs="Times New Roman" w:eastAsia="Times New Roman" w:hAnsi="Times New Roman"/>
          <w:i w:val="1"/>
          <w:iCs w:val="1"/>
          <w:sz w:val="24"/>
          <w:szCs w:val="24"/>
          <w:rtl w:val="0"/>
        </w:rPr>
        <w:t xml:space="preserve">The Routledge Companion to Video Games Studies, </w:t>
      </w:r>
      <w:r w:rsidDel="00000000" w:rsidR="00000000" w:rsidRPr="00000000">
        <w:rPr>
          <w:rFonts w:ascii="Times New Roman" w:cs="Times New Roman" w:eastAsia="Times New Roman" w:hAnsi="Times New Roman"/>
          <w:sz w:val="24"/>
          <w:szCs w:val="24"/>
          <w:rtl w:val="0"/>
        </w:rPr>
        <w:t xml:space="preserve">80-87. </w:t>
      </w:r>
      <w:hyperlink r:id="rId7">
        <w:r w:rsidDel="00000000" w:rsidR="00000000" w:rsidRPr="00000000">
          <w:rPr>
            <w:rFonts w:ascii="Times New Roman" w:cs="Times New Roman" w:eastAsia="Times New Roman" w:hAnsi="Times New Roman"/>
            <w:color w:val="1155cc"/>
            <w:sz w:val="24"/>
            <w:szCs w:val="24"/>
            <w:u w:val="single"/>
            <w:rtl w:val="0"/>
          </w:rPr>
          <w:t xml:space="preserve">https://www.taylorfrancis.com/chapters/edit/10.4324/9781003214977-13/economy-aphra-kerr</w:t>
        </w:r>
      </w:hyperlink>
      <w:r w:rsidDel="00000000" w:rsidR="00000000" w:rsidRPr="00000000">
        <w:rPr>
          <w:rtl w:val="0"/>
        </w:rPr>
      </w:r>
    </w:p>
    <w:p w:rsidR="00000000" w:rsidDel="00000000" w:rsidP="00000000" w:rsidRDefault="00000000" w:rsidRPr="00000000" w14:paraId="00000038">
      <w:pPr>
        <w:spacing w:after="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Parkkila, J., Ilkonen, J., &amp; Porras, J. (2015). Where is the research on connecting game worlds? – A systematic mapping study. </w:t>
      </w:r>
      <w:r w:rsidDel="00000000" w:rsidR="00000000" w:rsidRPr="00000000">
        <w:rPr>
          <w:rFonts w:ascii="Times New Roman" w:cs="Times New Roman" w:eastAsia="Times New Roman" w:hAnsi="Times New Roman"/>
          <w:i w:val="1"/>
          <w:iCs w:val="1"/>
          <w:sz w:val="24"/>
          <w:szCs w:val="24"/>
          <w:rtl w:val="0"/>
        </w:rPr>
        <w:t xml:space="preserve">Computer Science Review, 18, </w:t>
      </w:r>
      <w:r w:rsidDel="00000000" w:rsidR="00000000" w:rsidRPr="00000000">
        <w:rPr>
          <w:rFonts w:ascii="Times New Roman" w:cs="Times New Roman" w:eastAsia="Times New Roman" w:hAnsi="Times New Roman"/>
          <w:sz w:val="24"/>
          <w:szCs w:val="24"/>
          <w:rtl w:val="0"/>
        </w:rPr>
        <w:t xml:space="preserve">46-58. https://www.sciencedirect.com/science/article/abs/pii/S1574013715300289?via%3Dihub</w:t>
      </w:r>
      <w:r w:rsidDel="00000000" w:rsidR="00000000" w:rsidRPr="00000000">
        <w:rPr>
          <w:rtl w:val="0"/>
        </w:rPr>
      </w:r>
    </w:p>
    <w:sectPr>
      <w:headerReference r:id="rId8" w:type="default"/>
      <w:head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link.springer.com/chapter/10.1007/978-3-319-96661-8_26" TargetMode="External"/><Relationship Id="rId7" Type="http://schemas.openxmlformats.org/officeDocument/2006/relationships/hyperlink" Target="https://www.taylorfrancis.com/chapters/edit/10.4324/9781003214977-13/economy-aphra-kerr" TargetMode="Externa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