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2">
      <w:pPr>
        <w:spacing w:line="48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3">
      <w:pPr>
        <w:spacing w:line="480" w:lineRule="auto"/>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4">
      <w:pPr>
        <w:spacing w:after="0" w:line="48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5">
      <w:pPr>
        <w:spacing w:after="0" w:line="480" w:lineRule="auto"/>
        <w:rPr>
          <w:rFonts w:ascii="Times New Roman" w:cs="Times New Roman" w:eastAsia="Times New Roman" w:hAnsi="Times New Roman"/>
          <w:color w:val="000000"/>
          <w:sz w:val="24"/>
          <w:szCs w:val="24"/>
          <w:highlight w:val="white"/>
          <w:vertAlign w:val="baseline"/>
        </w:rPr>
      </w:pPr>
      <w:r w:rsidDel="00000000" w:rsidR="00000000" w:rsidRPr="00000000">
        <w:rPr>
          <w:rtl w:val="0"/>
        </w:rPr>
      </w:r>
    </w:p>
    <w:p w:rsidR="00000000" w:rsidDel="00000000" w:rsidP="00000000" w:rsidRDefault="00000000" w:rsidRPr="00000000" w14:paraId="00000006">
      <w:pPr>
        <w:spacing w:after="0" w:line="480" w:lineRule="auto"/>
        <w:rPr>
          <w:rFonts w:ascii="Times New Roman" w:cs="Times New Roman" w:eastAsia="Times New Roman" w:hAnsi="Times New Roman"/>
          <w:color w:val="000000"/>
          <w:sz w:val="24"/>
          <w:szCs w:val="24"/>
          <w:highlight w:val="white"/>
          <w:vertAlign w:val="baseline"/>
        </w:rPr>
      </w:pPr>
      <w:r w:rsidDel="00000000" w:rsidR="00000000" w:rsidRPr="00000000">
        <w:rPr>
          <w:rtl w:val="0"/>
        </w:rPr>
      </w:r>
    </w:p>
    <w:p w:rsidR="00000000" w:rsidDel="00000000" w:rsidP="00000000" w:rsidRDefault="00000000" w:rsidRPr="00000000" w14:paraId="00000007">
      <w:pPr>
        <w:spacing w:after="0" w:line="480" w:lineRule="auto"/>
        <w:jc w:val="center"/>
        <w:rPr>
          <w:rFonts w:ascii="Times New Roman" w:cs="Times New Roman" w:eastAsia="Times New Roman" w:hAnsi="Times New Roman"/>
          <w:color w:val="000000"/>
          <w:sz w:val="24"/>
          <w:szCs w:val="24"/>
          <w:highlight w:val="white"/>
          <w:vertAlign w:val="baseline"/>
        </w:rPr>
      </w:pPr>
      <w:r w:rsidDel="00000000" w:rsidR="00000000" w:rsidRPr="00000000">
        <w:rPr>
          <w:rtl w:val="0"/>
        </w:rPr>
      </w:r>
    </w:p>
    <w:p w:rsidR="00000000" w:rsidDel="00000000" w:rsidP="00000000" w:rsidRDefault="00000000" w:rsidRPr="00000000" w14:paraId="00000008">
      <w:pPr>
        <w:spacing w:after="0" w:line="480" w:lineRule="auto"/>
        <w:jc w:val="center"/>
        <w:rPr>
          <w:rFonts w:ascii="Times New Roman" w:cs="Times New Roman" w:eastAsia="Times New Roman" w:hAnsi="Times New Roman"/>
          <w:b w:val="0"/>
          <w:bCs w:val="0"/>
          <w:color w:val="000000"/>
          <w:sz w:val="24"/>
          <w:szCs w:val="24"/>
          <w:highlight w:val="white"/>
          <w:vertAlign w:val="baseline"/>
        </w:rPr>
      </w:pPr>
      <w:r w:rsidDel="00000000" w:rsidR="00000000" w:rsidRPr="00000000">
        <w:rPr>
          <w:rFonts w:ascii="Times New Roman" w:cs="Times New Roman" w:eastAsia="Times New Roman" w:hAnsi="Times New Roman"/>
          <w:b w:val="1"/>
          <w:bCs w:val="1"/>
          <w:sz w:val="24"/>
          <w:szCs w:val="24"/>
          <w:highlight w:val="white"/>
          <w:rtl w:val="0"/>
        </w:rPr>
        <w:t xml:space="preserve">The Dataset</w:t>
      </w:r>
      <w:r w:rsidDel="00000000" w:rsidR="00000000" w:rsidRPr="00000000">
        <w:rPr>
          <w:rtl w:val="0"/>
        </w:rPr>
      </w:r>
    </w:p>
    <w:p w:rsidR="00000000" w:rsidDel="00000000" w:rsidP="00000000" w:rsidRDefault="00000000" w:rsidRPr="00000000" w14:paraId="00000009">
      <w:pPr>
        <w:spacing w:after="0" w:line="480" w:lineRule="auto"/>
        <w:jc w:val="center"/>
        <w:rPr>
          <w:rFonts w:ascii="Times New Roman" w:cs="Times New Roman" w:eastAsia="Times New Roman" w:hAnsi="Times New Roman"/>
          <w:b w:val="0"/>
          <w:bCs w:val="0"/>
          <w:color w:val="000000"/>
          <w:sz w:val="24"/>
          <w:szCs w:val="24"/>
          <w:highlight w:val="white"/>
          <w:vertAlign w:val="baseline"/>
        </w:rPr>
      </w:pPr>
      <w:r w:rsidDel="00000000" w:rsidR="00000000" w:rsidRPr="00000000">
        <w:rPr>
          <w:rtl w:val="0"/>
        </w:rPr>
      </w:r>
    </w:p>
    <w:p w:rsidR="00000000" w:rsidDel="00000000" w:rsidP="00000000" w:rsidRDefault="00000000" w:rsidRPr="00000000" w14:paraId="0000000A">
      <w:pPr>
        <w:spacing w:after="0" w:line="480" w:lineRule="auto"/>
        <w:jc w:val="center"/>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sz w:val="24"/>
          <w:szCs w:val="24"/>
          <w:highlight w:val="white"/>
          <w:rtl w:val="0"/>
        </w:rPr>
        <w:t xml:space="preserve">Ryan Durkin</w:t>
      </w:r>
      <w:r w:rsidDel="00000000" w:rsidR="00000000" w:rsidRPr="00000000">
        <w:rPr>
          <w:rtl w:val="0"/>
        </w:rPr>
      </w:r>
    </w:p>
    <w:p w:rsidR="00000000" w:rsidDel="00000000" w:rsidP="00000000" w:rsidRDefault="00000000" w:rsidRPr="00000000" w14:paraId="0000000B">
      <w:pPr>
        <w:spacing w:after="0" w:line="480" w:lineRule="auto"/>
        <w:jc w:val="center"/>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color w:val="000000"/>
          <w:sz w:val="24"/>
          <w:szCs w:val="24"/>
          <w:highlight w:val="white"/>
          <w:vertAlign w:val="baseline"/>
          <w:rtl w:val="0"/>
        </w:rPr>
        <w:t xml:space="preserve">Colorado State University Global</w:t>
      </w:r>
    </w:p>
    <w:p w:rsidR="00000000" w:rsidDel="00000000" w:rsidP="00000000" w:rsidRDefault="00000000" w:rsidRPr="00000000" w14:paraId="0000000C">
      <w:pPr>
        <w:spacing w:after="0" w:line="480" w:lineRule="auto"/>
        <w:jc w:val="center"/>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sz w:val="24"/>
          <w:szCs w:val="24"/>
          <w:highlight w:val="white"/>
          <w:rtl w:val="0"/>
        </w:rPr>
        <w:t xml:space="preserve">MIS581: Capstone - Business Intelligence and Data Analytics</w:t>
      </w:r>
      <w:r w:rsidDel="00000000" w:rsidR="00000000" w:rsidRPr="00000000">
        <w:rPr>
          <w:rtl w:val="0"/>
        </w:rPr>
      </w:r>
    </w:p>
    <w:p w:rsidR="00000000" w:rsidDel="00000000" w:rsidP="00000000" w:rsidRDefault="00000000" w:rsidRPr="00000000" w14:paraId="0000000D">
      <w:pPr>
        <w:spacing w:after="0" w:line="480" w:lineRule="auto"/>
        <w:jc w:val="center"/>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sz w:val="24"/>
          <w:szCs w:val="24"/>
          <w:highlight w:val="white"/>
          <w:rtl w:val="0"/>
        </w:rPr>
        <w:t xml:space="preserve">Justin Bateh</w:t>
      </w:r>
      <w:r w:rsidDel="00000000" w:rsidR="00000000" w:rsidRPr="00000000">
        <w:rPr>
          <w:rtl w:val="0"/>
        </w:rPr>
      </w:r>
    </w:p>
    <w:p w:rsidR="00000000" w:rsidDel="00000000" w:rsidP="00000000" w:rsidRDefault="00000000" w:rsidRPr="00000000" w14:paraId="0000000E">
      <w:pPr>
        <w:spacing w:after="0" w:line="480" w:lineRule="auto"/>
        <w:jc w:val="center"/>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sz w:val="24"/>
          <w:szCs w:val="24"/>
          <w:highlight w:val="white"/>
          <w:rtl w:val="0"/>
        </w:rPr>
        <w:t xml:space="preserve">8/30/2026</w:t>
      </w:r>
      <w:r w:rsidDel="00000000" w:rsidR="00000000" w:rsidRPr="00000000">
        <w:rPr>
          <w:rtl w:val="0"/>
        </w:rPr>
      </w:r>
    </w:p>
    <w:p w:rsidR="00000000" w:rsidDel="00000000" w:rsidP="00000000" w:rsidRDefault="00000000" w:rsidRPr="00000000" w14:paraId="0000000F">
      <w:pPr>
        <w:spacing w:line="480" w:lineRule="auto"/>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0">
      <w:pPr>
        <w:spacing w:line="480" w:lineRule="auto"/>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1">
      <w:pPr>
        <w:tabs>
          <w:tab w:val="left" w:leader="none" w:pos="3355"/>
        </w:tabs>
        <w:spacing w:line="48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ab/>
      </w:r>
    </w:p>
    <w:p w:rsidR="00000000" w:rsidDel="00000000" w:rsidP="00000000" w:rsidRDefault="00000000" w:rsidRPr="00000000" w14:paraId="00000012">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of Contents</w:t>
      </w:r>
    </w:p>
    <w:sdt>
      <w:sdtPr>
        <w:id w:val="1819515507"/>
        <w:docPartObj>
          <w:docPartGallery w:val="Table of Contents"/>
          <w:docPartUnique w:val="1"/>
        </w:docPartObj>
      </w:sdtPr>
      <w:sdtContent>
        <w:p w:rsidR="00000000" w:rsidDel="00000000" w:rsidP="00000000" w:rsidRDefault="00000000" w:rsidRPr="00000000" w14:paraId="00000016">
          <w:pPr>
            <w:widowControl w:val="0"/>
            <w:spacing w:after="0" w:line="480" w:lineRule="auto"/>
            <w:rPr>
              <w:rFonts w:ascii="Times New Roman" w:cs="Times New Roman" w:eastAsia="Times New Roman" w:hAnsi="Times New Roman"/>
              <w:sz w:val="24"/>
              <w:szCs w:val="24"/>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Times New Roman" w:cs="Times New Roman" w:eastAsia="Times New Roman" w:hAnsi="Times New Roman"/>
              <w:sz w:val="24"/>
              <w:szCs w:val="24"/>
              <w:rtl w:val="0"/>
            </w:rPr>
            <w:t xml:space="preserve">The Dataset: Dataset Description and Variable Type</w:t>
            <w:tab/>
            <w:tab/>
            <w:tab/>
            <w:tab/>
            <w:tab/>
            <w:tab/>
            <w:t xml:space="preserve">3</w:t>
          </w:r>
        </w:p>
        <w:p w:rsidR="00000000" w:rsidDel="00000000" w:rsidP="00000000" w:rsidRDefault="00000000" w:rsidRPr="00000000" w14:paraId="00000017">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Analytical Tools and Techniques</w:t>
            <w:tab/>
            <w:tab/>
            <w:tab/>
            <w:tab/>
            <w:tab/>
            <w:tab/>
            <w:tab/>
            <w:tab/>
            <w:t xml:space="preserve">4</w:t>
          </w:r>
        </w:p>
        <w:p w:rsidR="00000000" w:rsidDel="00000000" w:rsidP="00000000" w:rsidRDefault="00000000" w:rsidRPr="00000000" w14:paraId="00000018">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 Model of Data (Metadata Dictionary)</w:t>
            <w:tab/>
            <w:tab/>
            <w:tab/>
            <w:tab/>
            <w:tab/>
            <w:tab/>
            <w:tab/>
            <w:t xml:space="preserve">5</w:t>
          </w:r>
        </w:p>
        <w:p w:rsidR="00000000" w:rsidDel="00000000" w:rsidP="00000000" w:rsidRDefault="00000000" w:rsidRPr="00000000" w14:paraId="00000019">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Rationale for Choosing the Dataset</w:t>
            <w:tab/>
            <w:tab/>
            <w:tab/>
            <w:tab/>
            <w:tab/>
            <w:tab/>
            <w:tab/>
            <w:tab/>
            <w:t xml:space="preserve">7</w:t>
          </w:r>
        </w:p>
        <w:p w:rsidR="00000000" w:rsidDel="00000000" w:rsidP="00000000" w:rsidRDefault="00000000" w:rsidRPr="00000000" w14:paraId="0000001A">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tab/>
            <w:tab/>
            <w:tab/>
            <w:tab/>
            <w:tab/>
            <w:tab/>
            <w:tab/>
            <w:tab/>
            <w:tab/>
            <w:tab/>
            <w:tab/>
            <w:t xml:space="preserve">8</w:t>
          </w:r>
          <w:r w:rsidDel="00000000" w:rsidR="00000000" w:rsidRPr="00000000">
            <w:fldChar w:fldCharType="end"/>
          </w:r>
        </w:p>
      </w:sdtContent>
    </w:sdt>
    <w:p w:rsidR="00000000" w:rsidDel="00000000" w:rsidP="00000000" w:rsidRDefault="00000000" w:rsidRPr="00000000" w14:paraId="0000001B">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C">
      <w:pPr>
        <w:pStyle w:val="Heading2"/>
        <w:spacing w:line="480" w:lineRule="auto"/>
        <w:jc w:val="center"/>
        <w:rPr>
          <w:b w:val="1"/>
          <w:bCs w:val="1"/>
        </w:rPr>
      </w:pPr>
      <w:bookmarkStart w:colFirst="0" w:colLast="0" w:name="_3agiwiiqct8f" w:id="0"/>
      <w:bookmarkEnd w:id="0"/>
      <w:r w:rsidDel="00000000" w:rsidR="00000000" w:rsidRPr="00000000">
        <w:br w:type="page"/>
      </w:r>
      <w:r w:rsidDel="00000000" w:rsidR="00000000" w:rsidRPr="00000000">
        <w:rPr>
          <w:b w:val="1"/>
          <w:bCs w:val="1"/>
          <w:rtl w:val="0"/>
        </w:rPr>
        <w:t xml:space="preserve">The Dataset: Dataset Description and Variable Types</w:t>
      </w:r>
    </w:p>
    <w:p w:rsidR="00000000" w:rsidDel="00000000" w:rsidP="00000000" w:rsidRDefault="00000000" w:rsidRPr="00000000" w14:paraId="0000001D">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The dataset curated for this economic analysis comprises a massive, multi-gigabyte fusion of historical market order telemetry and combat destruction logs extracted directly from EVE Online’s ecosystem. Because of the sheer volume of daily transactions across thousands of distinct star systems, the raw telemetry will be structured into partitioned Parquet format to ensure high-performance querying and efficient storage management. The dataset captures the microeconomic behavior of individual market participants such as the posting of buy and sell orders at regional hubs, while simultaneously tracking the macroeconomic velocity of the ISK currency of the physical destruction of virtual assets through combat. Analyzing massive, longitudinal data from virtual auction houses provides an unprecedented view into player behavioral clusters and market dynamics that define massively multi-player online games economies (Drachen et al., 2016).</w:t>
      </w:r>
    </w:p>
    <w:p w:rsidR="00000000" w:rsidDel="00000000" w:rsidP="00000000" w:rsidRDefault="00000000" w:rsidRPr="00000000" w14:paraId="0000001E">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conduct a statistical analysis, the dataset relies on a variety of distinct variable types that measure everything from categorical spatial geography to continuous financial values:</w:t>
      </w:r>
    </w:p>
    <w:p w:rsidR="00000000" w:rsidDel="00000000" w:rsidP="00000000" w:rsidRDefault="00000000" w:rsidRPr="00000000" w14:paraId="0000001F">
      <w:pPr>
        <w:numPr>
          <w:ilvl w:val="0"/>
          <w:numId w:val="1"/>
        </w:numPr>
        <w:spacing w:after="0" w:afterAutospacing="0"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Order ID</w:t>
      </w:r>
      <w:r w:rsidDel="00000000" w:rsidR="00000000" w:rsidRPr="00000000">
        <w:rPr>
          <w:rFonts w:ascii="Times New Roman" w:cs="Times New Roman" w:eastAsia="Times New Roman" w:hAnsi="Times New Roman"/>
          <w:sz w:val="24"/>
          <w:szCs w:val="24"/>
          <w:rtl w:val="0"/>
        </w:rPr>
        <w:t xml:space="preserve">: A nominal variable acting as the unique primary key for every distinct market transaction submitted to the server.</w:t>
      </w:r>
    </w:p>
    <w:p w:rsidR="00000000" w:rsidDel="00000000" w:rsidP="00000000" w:rsidRDefault="00000000" w:rsidRPr="00000000" w14:paraId="00000020">
      <w:pPr>
        <w:numPr>
          <w:ilvl w:val="0"/>
          <w:numId w:val="1"/>
        </w:numPr>
        <w:spacing w:after="0" w:afterAutospacing="0"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Is Buy Orde</w:t>
      </w:r>
      <w:r w:rsidDel="00000000" w:rsidR="00000000" w:rsidRPr="00000000">
        <w:rPr>
          <w:rFonts w:ascii="Times New Roman" w:cs="Times New Roman" w:eastAsia="Times New Roman" w:hAnsi="Times New Roman"/>
          <w:sz w:val="24"/>
          <w:szCs w:val="24"/>
          <w:rtl w:val="0"/>
        </w:rPr>
        <w:t xml:space="preserve">r: A binary (or dichotomous) variable representing the transaction direction, where a value of 1 indicates a buy order and a value of 0 indicates a sell order.</w:t>
      </w:r>
    </w:p>
    <w:p w:rsidR="00000000" w:rsidDel="00000000" w:rsidP="00000000" w:rsidRDefault="00000000" w:rsidRPr="00000000" w14:paraId="00000021">
      <w:pPr>
        <w:numPr>
          <w:ilvl w:val="0"/>
          <w:numId w:val="1"/>
        </w:numPr>
        <w:spacing w:after="0" w:afterAutospacing="0" w:line="480" w:lineRule="auto"/>
        <w:ind w:left="720" w:hanging="36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System ID</w:t>
      </w:r>
      <w:r w:rsidDel="00000000" w:rsidR="00000000" w:rsidRPr="00000000">
        <w:rPr>
          <w:rFonts w:ascii="Times New Roman" w:cs="Times New Roman" w:eastAsia="Times New Roman" w:hAnsi="Times New Roman"/>
          <w:sz w:val="24"/>
          <w:szCs w:val="24"/>
          <w:rtl w:val="0"/>
        </w:rPr>
        <w:t xml:space="preserve">: A nominal variable used as a categorical identifier for the specific solar system where the market order was placed or where the combat event occurred.</w:t>
      </w:r>
    </w:p>
    <w:p w:rsidR="00000000" w:rsidDel="00000000" w:rsidP="00000000" w:rsidRDefault="00000000" w:rsidRPr="00000000" w14:paraId="00000022">
      <w:pPr>
        <w:numPr>
          <w:ilvl w:val="0"/>
          <w:numId w:val="1"/>
        </w:numPr>
        <w:spacing w:after="0" w:afterAutospacing="0" w:line="480" w:lineRule="auto"/>
        <w:ind w:left="720" w:hanging="36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 ID</w:t>
      </w:r>
      <w:r w:rsidDel="00000000" w:rsidR="00000000" w:rsidRPr="00000000">
        <w:rPr>
          <w:rFonts w:ascii="Times New Roman" w:cs="Times New Roman" w:eastAsia="Times New Roman" w:hAnsi="Times New Roman"/>
          <w:sz w:val="24"/>
          <w:szCs w:val="24"/>
          <w:rtl w:val="0"/>
        </w:rPr>
        <w:t xml:space="preserve">: A nominal variable denoting the specific classification of the item being traded or destroyed, such as raw minerals, advanced planetary commodities, or completed vessel hulls.</w:t>
      </w:r>
    </w:p>
    <w:p w:rsidR="00000000" w:rsidDel="00000000" w:rsidP="00000000" w:rsidRDefault="00000000" w:rsidRPr="00000000" w14:paraId="00000023">
      <w:pPr>
        <w:numPr>
          <w:ilvl w:val="0"/>
          <w:numId w:val="1"/>
        </w:numPr>
        <w:spacing w:after="0" w:afterAutospacing="0" w:line="480" w:lineRule="auto"/>
        <w:ind w:left="720" w:hanging="36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Price</w:t>
      </w:r>
      <w:r w:rsidDel="00000000" w:rsidR="00000000" w:rsidRPr="00000000">
        <w:rPr>
          <w:rFonts w:ascii="Times New Roman" w:cs="Times New Roman" w:eastAsia="Times New Roman" w:hAnsi="Times New Roman"/>
          <w:sz w:val="24"/>
          <w:szCs w:val="24"/>
          <w:rtl w:val="0"/>
        </w:rPr>
        <w:t xml:space="preserve">: A continuous (ratio) variable representing the exact ISK value assigned to a single unit of the item within the market order.</w:t>
      </w:r>
    </w:p>
    <w:p w:rsidR="00000000" w:rsidDel="00000000" w:rsidP="00000000" w:rsidRDefault="00000000" w:rsidRPr="00000000" w14:paraId="00000024">
      <w:pPr>
        <w:numPr>
          <w:ilvl w:val="0"/>
          <w:numId w:val="1"/>
        </w:numPr>
        <w:spacing w:after="0" w:afterAutospacing="0" w:line="480" w:lineRule="auto"/>
        <w:ind w:left="720" w:hanging="36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Volume Entered</w:t>
      </w:r>
      <w:r w:rsidDel="00000000" w:rsidR="00000000" w:rsidRPr="00000000">
        <w:rPr>
          <w:rFonts w:ascii="Times New Roman" w:cs="Times New Roman" w:eastAsia="Times New Roman" w:hAnsi="Times New Roman"/>
          <w:sz w:val="24"/>
          <w:szCs w:val="24"/>
          <w:rtl w:val="0"/>
        </w:rPr>
        <w:t xml:space="preserve">: An interval (ratio) variable tracking the total quantity of items originally requested or offered in the market order.</w:t>
      </w:r>
    </w:p>
    <w:p w:rsidR="00000000" w:rsidDel="00000000" w:rsidP="00000000" w:rsidRDefault="00000000" w:rsidRPr="00000000" w14:paraId="00000025">
      <w:pPr>
        <w:numPr>
          <w:ilvl w:val="0"/>
          <w:numId w:val="1"/>
        </w:numPr>
        <w:spacing w:after="0" w:afterAutospacing="0" w:line="480" w:lineRule="auto"/>
        <w:ind w:left="720" w:hanging="36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Timestamp</w:t>
      </w:r>
      <w:r w:rsidDel="00000000" w:rsidR="00000000" w:rsidRPr="00000000">
        <w:rPr>
          <w:rFonts w:ascii="Times New Roman" w:cs="Times New Roman" w:eastAsia="Times New Roman" w:hAnsi="Times New Roman"/>
          <w:sz w:val="24"/>
          <w:szCs w:val="24"/>
          <w:rtl w:val="0"/>
        </w:rPr>
        <w:t xml:space="preserve">: An interval variable recording the precise chronological moment a market order was issued or a killmail was generated, essential for time-series tracking.</w:t>
      </w:r>
    </w:p>
    <w:p w:rsidR="00000000" w:rsidDel="00000000" w:rsidP="00000000" w:rsidRDefault="00000000" w:rsidRPr="00000000" w14:paraId="00000026">
      <w:pPr>
        <w:numPr>
          <w:ilvl w:val="0"/>
          <w:numId w:val="1"/>
        </w:numPr>
        <w:spacing w:line="480" w:lineRule="auto"/>
        <w:ind w:left="720" w:hanging="36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Destroyed Value</w:t>
      </w:r>
      <w:r w:rsidDel="00000000" w:rsidR="00000000" w:rsidRPr="00000000">
        <w:rPr>
          <w:rFonts w:ascii="Times New Roman" w:cs="Times New Roman" w:eastAsia="Times New Roman" w:hAnsi="Times New Roman"/>
          <w:sz w:val="24"/>
          <w:szCs w:val="24"/>
          <w:rtl w:val="0"/>
        </w:rPr>
        <w:t xml:space="preserve">: A continuous (ratio) variable capturing the total estimated ISK value of an asset removed from the economy via combat destruction.</w:t>
      </w:r>
    </w:p>
    <w:p w:rsidR="00000000" w:rsidDel="00000000" w:rsidP="00000000" w:rsidRDefault="00000000" w:rsidRPr="00000000" w14:paraId="00000027">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pStyle w:val="Heading2"/>
        <w:spacing w:line="480" w:lineRule="auto"/>
        <w:jc w:val="center"/>
        <w:rPr/>
      </w:pPr>
      <w:bookmarkStart w:colFirst="0" w:colLast="0" w:name="_isg6qmw7yd16" w:id="1"/>
      <w:bookmarkEnd w:id="1"/>
      <w:r w:rsidDel="00000000" w:rsidR="00000000" w:rsidRPr="00000000">
        <w:rPr>
          <w:rtl w:val="0"/>
        </w:rPr>
        <w:t xml:space="preserve">Analytical Tools and Techniques</w:t>
      </w:r>
    </w:p>
    <w:p w:rsidR="00000000" w:rsidDel="00000000" w:rsidP="00000000" w:rsidRDefault="00000000" w:rsidRPr="00000000" w14:paraId="0000002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To process this partitioned data and extract meaningful economic intelligence, the methodology strictly relies on a combination of enterprise-grade visualization platforms and advanced statistical modeling environments.</w:t>
      </w:r>
    </w:p>
    <w:p w:rsidR="00000000" w:rsidDel="00000000" w:rsidP="00000000" w:rsidRDefault="00000000" w:rsidRPr="00000000" w14:paraId="0000002A">
      <w:pPr>
        <w:spacing w:after="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visual and aggregation tool utilized for this analysis is Power BI. Power BI is essential for transforming the raw Parquet files into an interactive, multi-dimensional reporting suite. By leveraging Power Query for the initial ETL transformations, the disparate market and combat logs are unified into a cohesive star schema architecture. Custom DAX (Data Analysis Expressions) measures are then deployed to calculate dynamic, rolling metrics such as regional bid-ask spreads, moving average price volatility, and cumulative ISK destruction. This technique allows for the visual slicing of macroeconomic data by specific nominal categories, such as isolating price inflation within a single low-liquidity peripheral system.</w:t>
      </w:r>
    </w:p>
    <w:p w:rsidR="00000000" w:rsidDel="00000000" w:rsidP="00000000" w:rsidRDefault="00000000" w:rsidRPr="00000000" w14:paraId="0000002B">
      <w:pPr>
        <w:spacing w:after="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after="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predictive modeling and statistical analysis phases, the workflow exclusively utilizes a SAS Viya Model Studio. This environment provides the computational power necessary to test the hypotheses regarding localized supply shocks and market pricing inefficiencies without relying on secondary scripting languages. Within SAS Viya, decision tree classifiers are implemented to categorize the severity of market volatility based on the volume of destroyed assets in neighboring regions. When modeling the frequency of trade volumes and combat destruction events, the interval target error function is specifically configured to a Poisson distribution rather than a Normal distribution. This technique is highly effective for analyzing count-based macroeconomic telemetry, ensuring that the predictive models accurately reflect the discrete, non-negative nature of virtual commodity transactions and supply chain disruptions.</w:t>
      </w:r>
    </w:p>
    <w:p w:rsidR="00000000" w:rsidDel="00000000" w:rsidP="00000000" w:rsidRDefault="00000000" w:rsidRPr="00000000" w14:paraId="0000002D">
      <w:pPr>
        <w:spacing w:after="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pStyle w:val="Heading2"/>
        <w:spacing w:after="0" w:line="480" w:lineRule="auto"/>
        <w:jc w:val="center"/>
        <w:rPr/>
      </w:pPr>
      <w:bookmarkStart w:colFirst="0" w:colLast="0" w:name="_ghi89q75rn3d" w:id="2"/>
      <w:bookmarkEnd w:id="2"/>
      <w:r w:rsidDel="00000000" w:rsidR="00000000" w:rsidRPr="00000000">
        <w:rPr>
          <w:rtl w:val="0"/>
        </w:rPr>
        <w:t xml:space="preserve">Visual Model of Data (Metadata Dictionary)</w:t>
      </w:r>
    </w:p>
    <w:p w:rsidR="00000000" w:rsidDel="00000000" w:rsidP="00000000" w:rsidRDefault="00000000" w:rsidRPr="00000000" w14:paraId="0000002F">
      <w:pPr>
        <w:spacing w:after="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The following table represents the data dictionary, providing a clear visual model of the core attributes within the analytical data warehouse. This metadata framework ensures consistency when mapping the factual transaction records to the geographic and item-type dimensions.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1</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Data Dictionary</w:t>
            </w:r>
          </w:p>
        </w:tc>
      </w:tr>
    </w:tbl>
    <w:p w:rsidR="00000000" w:rsidDel="00000000" w:rsidP="00000000" w:rsidRDefault="00000000" w:rsidRPr="00000000" w14:paraId="00000032">
      <w:pPr>
        <w:spacing w:after="0" w:line="480" w:lineRule="auto"/>
        <w:ind w:left="0" w:firstLine="0"/>
        <w:rPr>
          <w:rFonts w:ascii="Times New Roman" w:cs="Times New Roman" w:eastAsia="Times New Roman" w:hAnsi="Times New Roman"/>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Column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transaction_id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unique identifier for a specific market order or combat event.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exact server time the event was recorded.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is_buy_order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Boolean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Binary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Indicates if the order is purchasing (True) or selling (False).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categorical identifier for the specific in-game item or commodity.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geographic identifier for the solar system where the event occurred.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price_isk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Continuous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listed monetary value of a single unit of the specified item.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volume_total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Interval/Ratio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total quantity of units involved in the transaction or destruction.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event_category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Classifies the row as either a “Market Order” or a “Combat Killmail”.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destroyed_isk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Continuous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calculated economic loss associated with a combat killmail event.</w:t>
            </w:r>
          </w:p>
        </w:tc>
      </w:tr>
    </w:tbl>
    <w:p w:rsidR="00000000" w:rsidDel="00000000" w:rsidP="00000000" w:rsidRDefault="00000000" w:rsidRPr="00000000" w14:paraId="0000005B">
      <w:pPr>
        <w:spacing w:after="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after="0" w:line="48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D">
      <w:pPr>
        <w:pStyle w:val="Heading2"/>
        <w:spacing w:after="0" w:line="480" w:lineRule="auto"/>
        <w:jc w:val="center"/>
        <w:rPr/>
      </w:pPr>
      <w:bookmarkStart w:colFirst="0" w:colLast="0" w:name="_84dn0bufwu5q" w:id="3"/>
      <w:bookmarkEnd w:id="3"/>
      <w:r w:rsidDel="00000000" w:rsidR="00000000" w:rsidRPr="00000000">
        <w:rPr>
          <w:rtl w:val="0"/>
        </w:rPr>
        <w:t xml:space="preserve">Rationale for Choosing the Dataset</w:t>
      </w:r>
    </w:p>
    <w:p w:rsidR="00000000" w:rsidDel="00000000" w:rsidP="00000000" w:rsidRDefault="00000000" w:rsidRPr="00000000" w14:paraId="0000005E">
      <w:pPr>
        <w:spacing w:after="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rationale for selecting the EVE Online market and combat telemetry dataset is rooted in the capstone’s problem statement: addressing the severe information asymmetry and market volatility that obscures genuine macroeconomic trends. Real-world economic data is inherently flawed, constantly subjected to unrecorded black market transactions, shifting government regulations, and delayed reporting cycles. This makes it incredibly difficult for organizations to build purely empirical models of supply and demand shocks. By choosing this specific virtual dataset, the organization gains access to a pristine, completely transparent, and closed-loop economic sandbox. Analyzing these virtual environments allows researchers to connect in-game economic behavior, such as price manipulation and trade volume, to real-world macroeconomic circumstances and human behavioral patterns without real-world regulatory interference (Belaza et al., 2020).</w:t>
      </w:r>
    </w:p>
    <w:p w:rsidR="00000000" w:rsidDel="00000000" w:rsidP="00000000" w:rsidRDefault="00000000" w:rsidRPr="00000000" w14:paraId="0000005F">
      <w:pPr>
        <w:spacing w:after="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single macroeconomic transaction, resource extraction, and asset destruction event is meticulously logged by the server. This allows researchers to isolate specific variables, such as the exact moment a localized supply chain is disrupted by combat, and observe the unadulterated ripple effect on the regional inflation and ISK money supply. Utilizing this data allows for the direct observation of how structural market interventions and economic shocks impact virtual trading volumes, which closely mimic inflation and deflationary cycles in real-world large-scale economies (Hogan-Hennessy et al., 2022).</w:t>
      </w:r>
    </w:p>
    <w:p w:rsidR="00000000" w:rsidDel="00000000" w:rsidP="00000000" w:rsidRDefault="00000000" w:rsidRPr="00000000" w14:paraId="00000060">
      <w:pPr>
        <w:spacing w:after="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spacing w:after="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after="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pStyle w:val="Heading2"/>
        <w:spacing w:after="0" w:line="480" w:lineRule="auto"/>
        <w:jc w:val="center"/>
        <w:rPr/>
      </w:pPr>
      <w:bookmarkStart w:colFirst="0" w:colLast="0" w:name="_u0obs03wy5zt" w:id="4"/>
      <w:bookmarkEnd w:id="4"/>
      <w:r w:rsidDel="00000000" w:rsidR="00000000" w:rsidRPr="00000000">
        <w:rPr>
          <w:rtl w:val="0"/>
        </w:rPr>
        <w:t xml:space="preserve">References</w:t>
      </w:r>
    </w:p>
    <w:p w:rsidR="00000000" w:rsidDel="00000000" w:rsidP="00000000" w:rsidRDefault="00000000" w:rsidRPr="00000000" w14:paraId="00000064">
      <w:pPr>
        <w:spacing w:after="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Belaza, A. M., Rychebusch, J., Schoors, K., Rocha, L. E. C., &amp; Vandermarliere, B. (2020). On the connection between real-world circumstances and online player behavior: The case of EVE Online. </w:t>
      </w:r>
      <w:r w:rsidDel="00000000" w:rsidR="00000000" w:rsidRPr="00000000">
        <w:rPr>
          <w:rFonts w:ascii="Times New Roman" w:cs="Times New Roman" w:eastAsia="Times New Roman" w:hAnsi="Times New Roman"/>
          <w:i w:val="1"/>
          <w:iCs w:val="1"/>
          <w:sz w:val="24"/>
          <w:szCs w:val="24"/>
          <w:rtl w:val="0"/>
        </w:rPr>
        <w:t xml:space="preserve">PLOS ONE, 15, </w:t>
      </w:r>
      <w:r w:rsidDel="00000000" w:rsidR="00000000" w:rsidRPr="00000000">
        <w:rPr>
          <w:rFonts w:ascii="Times New Roman" w:cs="Times New Roman" w:eastAsia="Times New Roman" w:hAnsi="Times New Roman"/>
          <w:sz w:val="24"/>
          <w:szCs w:val="24"/>
          <w:rtl w:val="0"/>
        </w:rPr>
        <w:t xml:space="preserve">e0240196. </w:t>
      </w:r>
      <w:hyperlink r:id="rId6">
        <w:r w:rsidDel="00000000" w:rsidR="00000000" w:rsidRPr="00000000">
          <w:rPr>
            <w:rFonts w:ascii="Times New Roman" w:cs="Times New Roman" w:eastAsia="Times New Roman" w:hAnsi="Times New Roman"/>
            <w:color w:val="1155cc"/>
            <w:sz w:val="24"/>
            <w:szCs w:val="24"/>
            <w:u w:val="single"/>
            <w:rtl w:val="0"/>
          </w:rPr>
          <w:t xml:space="preserve">https://journals.plos.org/plosone/article?id=10.1371/journal.pone.0240196</w:t>
        </w:r>
      </w:hyperlink>
      <w:r w:rsidDel="00000000" w:rsidR="00000000" w:rsidRPr="00000000">
        <w:rPr>
          <w:rtl w:val="0"/>
        </w:rPr>
      </w:r>
    </w:p>
    <w:p w:rsidR="00000000" w:rsidDel="00000000" w:rsidP="00000000" w:rsidRDefault="00000000" w:rsidRPr="00000000" w14:paraId="00000065">
      <w:pPr>
        <w:spacing w:after="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Drachen, A., Riley, J., Baskin, S., &amp; Klabjan, D. (2016). Going Out of Business: Auction House Behavior in the Massively Multi-Player Online Game. </w:t>
      </w:r>
      <w:r w:rsidDel="00000000" w:rsidR="00000000" w:rsidRPr="00000000">
        <w:rPr>
          <w:rFonts w:ascii="Times New Roman" w:cs="Times New Roman" w:eastAsia="Times New Roman" w:hAnsi="Times New Roman"/>
          <w:i w:val="1"/>
          <w:iCs w:val="1"/>
          <w:sz w:val="24"/>
          <w:szCs w:val="24"/>
          <w:rtl w:val="0"/>
        </w:rPr>
        <w:t xml:space="preserve">Entertainment Computing, Vol. 5, No. 4, 2014, p. 219-232. </w:t>
      </w:r>
      <w:hyperlink r:id="rId7">
        <w:r w:rsidDel="00000000" w:rsidR="00000000" w:rsidRPr="00000000">
          <w:rPr>
            <w:rFonts w:ascii="Times New Roman" w:cs="Times New Roman" w:eastAsia="Times New Roman" w:hAnsi="Times New Roman"/>
            <w:color w:val="1155cc"/>
            <w:sz w:val="24"/>
            <w:szCs w:val="24"/>
            <w:u w:val="single"/>
            <w:rtl w:val="0"/>
          </w:rPr>
          <w:t xml:space="preserve">https://arxiv.org/abs/1603.07610</w:t>
        </w:r>
      </w:hyperlink>
      <w:r w:rsidDel="00000000" w:rsidR="00000000" w:rsidRPr="00000000">
        <w:rPr>
          <w:rtl w:val="0"/>
        </w:rPr>
      </w:r>
    </w:p>
    <w:p w:rsidR="00000000" w:rsidDel="00000000" w:rsidP="00000000" w:rsidRDefault="00000000" w:rsidRPr="00000000" w14:paraId="00000066">
      <w:pPr>
        <w:spacing w:after="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Hogan-Hennessy, S., Xenopoulos, P., &amp; Silva, C. (2020). Market Intervention in a Large-Scale Virtual Economy. </w:t>
      </w:r>
      <w:r w:rsidDel="00000000" w:rsidR="00000000" w:rsidRPr="00000000">
        <w:rPr>
          <w:rFonts w:ascii="Times New Roman" w:cs="Times New Roman" w:eastAsia="Times New Roman" w:hAnsi="Times New Roman"/>
          <w:i w:val="1"/>
          <w:iCs w:val="1"/>
          <w:sz w:val="24"/>
          <w:szCs w:val="24"/>
          <w:rtl w:val="0"/>
        </w:rPr>
        <w:t xml:space="preserve">arXiv. </w:t>
      </w:r>
      <w:hyperlink r:id="rId8">
        <w:r w:rsidDel="00000000" w:rsidR="00000000" w:rsidRPr="00000000">
          <w:rPr>
            <w:rFonts w:ascii="Times New Roman" w:cs="Times New Roman" w:eastAsia="Times New Roman" w:hAnsi="Times New Roman"/>
            <w:color w:val="1155cc"/>
            <w:sz w:val="24"/>
            <w:szCs w:val="24"/>
            <w:u w:val="single"/>
            <w:rtl w:val="0"/>
          </w:rPr>
          <w:t xml:space="preserve">https://arxiv.org/abs/2210.07970</w:t>
        </w:r>
      </w:hyperlink>
      <w:r w:rsidDel="00000000" w:rsidR="00000000" w:rsidRPr="00000000">
        <w:rPr>
          <w:rtl w:val="0"/>
        </w:rPr>
      </w:r>
    </w:p>
    <w:p w:rsidR="00000000" w:rsidDel="00000000" w:rsidP="00000000" w:rsidRDefault="00000000" w:rsidRPr="00000000" w14:paraId="00000067">
      <w:pPr>
        <w:spacing w:after="0" w:line="480" w:lineRule="auto"/>
        <w:ind w:left="720" w:hanging="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after="0" w:line="480" w:lineRule="auto"/>
        <w:ind w:left="720" w:hanging="720"/>
        <w:rPr>
          <w:rFonts w:ascii="Times New Roman" w:cs="Times New Roman" w:eastAsia="Times New Roman" w:hAnsi="Times New Roman"/>
          <w:sz w:val="24"/>
          <w:szCs w:val="24"/>
          <w:vertAlign w:val="baseline"/>
        </w:rPr>
      </w:pPr>
      <w:r w:rsidDel="00000000" w:rsidR="00000000" w:rsidRPr="00000000">
        <w:rPr>
          <w:rtl w:val="0"/>
        </w:rPr>
      </w:r>
    </w:p>
    <w:sectPr>
      <w:headerReference r:id="rId9" w:type="default"/>
      <w:headerReference r:id="rId10"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hyperlink" Target="https://journals.plos.org/plosone/article?id=10.1371/journal.pone.0240196" TargetMode="External"/><Relationship Id="rId7" Type="http://schemas.openxmlformats.org/officeDocument/2006/relationships/hyperlink" Target="https://arxiv.org/abs/1603.07610" TargetMode="External"/><Relationship Id="rId8" Type="http://schemas.openxmlformats.org/officeDocument/2006/relationships/hyperlink" Target="https://arxiv.org/abs/2210.0797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