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spacing w:after="0"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6">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7">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Fonts w:ascii="Times New Roman" w:cs="Times New Roman" w:eastAsia="Times New Roman" w:hAnsi="Times New Roman"/>
          <w:b w:val="1"/>
          <w:bCs w:val="1"/>
          <w:sz w:val="24"/>
          <w:szCs w:val="24"/>
          <w:rtl w:val="0"/>
        </w:rPr>
        <w:t xml:space="preserve">Capstone Project Research Questions/Hypotheses &amp; Research Methods</w:t>
      </w: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Ryan Durkin</w:t>
      </w: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Global</w:t>
      </w:r>
    </w:p>
    <w:p w:rsidR="00000000" w:rsidDel="00000000" w:rsidP="00000000" w:rsidRDefault="00000000" w:rsidRPr="00000000" w14:paraId="0000000C">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MIS581</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Capstone - </w:t>
      </w:r>
      <w:r w:rsidDel="00000000" w:rsidR="00000000" w:rsidRPr="00000000">
        <w:rPr>
          <w:rFonts w:ascii="Times New Roman" w:cs="Times New Roman" w:eastAsia="Times New Roman" w:hAnsi="Times New Roman"/>
          <w:sz w:val="24"/>
          <w:szCs w:val="24"/>
          <w:highlight w:val="white"/>
          <w:rtl w:val="0"/>
        </w:rPr>
        <w:t xml:space="preserve">Business Intelligence &amp; Data Analytics</w:t>
      </w: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Justin Bateh</w:t>
      </w:r>
      <w:r w:rsidDel="00000000" w:rsidR="00000000" w:rsidRPr="00000000">
        <w:rPr>
          <w:rtl w:val="0"/>
        </w:rPr>
      </w:r>
    </w:p>
    <w:p w:rsidR="00000000" w:rsidDel="00000000" w:rsidP="00000000" w:rsidRDefault="00000000" w:rsidRPr="00000000" w14:paraId="0000000E">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9/6/2026</w:t>
      </w: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tabs>
          <w:tab w:val="left" w:leader="none" w:pos="3355"/>
        </w:tabs>
        <w:spacing w:line="4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Capstone Project Research Questions/Hypotheses &amp; Research Methods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study of virtual economies has evolved significantly over the past two decades, transitioning from niche observations of video game barter systems to rigorous academic analyses of complex, multi-layered economies ecosystems. Virtual goods are increasingly traded with real-world economic implications, and behind every digital transaction lies an economy that operates on foundational microeconomic principles such as scarcity, opportunity cost, and market equilibrium (Lehdonvirta &amp; Castronova, 2014). Among these virtual economies, the massively multiplayer online roleplaying game (MMORPG) EVE Online stands out for its uniquely sophisticated, player driven economy. Operating on a single, persistent server cluster, hundreds of thousands of players engage in localized resource extraction, multi-tiered manufacturing, and complex logistical supply chains across a galaxy of interconnected planetary systems.</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core of this ecosystem is the Interstellar Kredit (ISK), a flat currency utilized to facilitate millions of daily market transactions. Because of the sheer volume of trade and the decentralized nature of player commerce, the environment behaves in a manner highly analogous to real-world global markets (Gudmundsson, 2017). The game serves as a premier sandbox for observing both localized macroeconomic behavior, such as individual margin trading and pricing strategies, to broader macroeconomic trends, such as systemic inflation and aggregate money supply velocity. This capstone project aims to leverage this unique environment to dissect economic volatility, focusing on how localized pricing inefficiencies and sudden disruptions in raw material supply chains cascade through a decentralized market.</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 and Rationale</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foundation of this research is built upon understanding how localized market disruptions in a decentralized environment propagate through the broader economic system. My primary research questions investigates how localized microeconomic pricing inefficiencies across regional trade hubs impact the macroeconomic money supply and inflation rates within EVE Online. Specifically, I’m asking to what extent systematic supply shocks in raw material extraction disproportionately accelerate localized inflation in peripheral systems compared to central trade hubs.</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these research questions is driven by the opportunity to analyze a full closed-loop virtual economy that generated a continuous dataset of market transactions and player telemetry. In traditional macroeconomic research, economists frequently struggle with incomplete, delayed, or heavily revised datasets. Measuring  economic volatility in this environment allows for myself to observe pure supply and demand dynamics without the unpredictable noise of real-world regulatory interventions or unrecorded black market activity. This is a quantitative approach to this research because utilizing massive datasets from complex, interconnected virtual worlds provides a methodology for modeling real-world decentralized systems and macroeconomic policies (Epifanovskaya et al., 2018; Parkkila, Ikonen, &amp; Porras, 2015). By isolating these variables within a virtual sandbox, the resulting models can offer highly accurate insights into how real-world supply chain bottlenecks might impact peripheral, low-liquidity economies.</w:t>
      </w:r>
    </w:p>
    <w:p w:rsidR="00000000" w:rsidDel="00000000" w:rsidP="00000000" w:rsidRDefault="00000000" w:rsidRPr="00000000" w14:paraId="0000001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Hypotheses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hypotheses for this capstone project are divided into two distinct analytical focuses: observing market volatility during raw material supply shocks, and examining microeconomic pricing inefficiencies in relation to macroeconomic trade velocity.</w:t>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Focus on Market Volatility and Supply Shocks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EVE economy is anchored by massive, high-volume central trade hubs, most notably the Jita system in The Forge region, which processes the vast majority of the galaxy’s trade and exhibits immense market depth. In contrast, peripheral planetary systems operate with significantly lower trade volumes and thinner order books. My hypothesis here is that sudden resource scarcity will cause a faster, more volatile inflationary spike in localized, low-liquidity markets than in centralized, high-volume trade hubs. When a systemic supply shock occurs, such as a developer induced patch that reduces mineral yields or massive player conflicts, the high liquidity of a central hub theoretically acts as a shock absorber. In peripheral markets, however, the lack of supply depth should cause prices to gap up rapidly, leading to outsized localization inflation.</w:t>
      </w:r>
    </w:p>
    <w:p w:rsidR="00000000" w:rsidDel="00000000" w:rsidP="00000000" w:rsidRDefault="00000000" w:rsidRPr="00000000" w14:paraId="00000020">
      <w:pPr>
        <w:numPr>
          <w:ilvl w:val="0"/>
          <w:numId w:val="1"/>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H1 (Alternative): </w:t>
      </w:r>
      <w:r w:rsidDel="00000000" w:rsidR="00000000" w:rsidRPr="00000000">
        <w:rPr>
          <w:rFonts w:ascii="Times New Roman" w:cs="Times New Roman" w:eastAsia="Times New Roman" w:hAnsi="Times New Roman"/>
          <w:sz w:val="24"/>
          <w:szCs w:val="24"/>
          <w:rtl w:val="0"/>
        </w:rPr>
        <w:t xml:space="preserve">Systemic supply shocks in raw material extraction will cause a statistically significant, faster, and more volatile inflationary price spike in localized, low liquidity peripheral markets compared to centralized, high-volume trading hubs.</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H0 (Null): </w:t>
      </w:r>
      <w:r w:rsidDel="00000000" w:rsidR="00000000" w:rsidRPr="00000000">
        <w:rPr>
          <w:rFonts w:ascii="Times New Roman" w:cs="Times New Roman" w:eastAsia="Times New Roman" w:hAnsi="Times New Roman"/>
          <w:sz w:val="24"/>
          <w:szCs w:val="24"/>
          <w:rtl w:val="0"/>
        </w:rPr>
        <w:t xml:space="preserve">Systemic supply shocks in raw material extraction will cause no statistically significant disturbance in inflation rates or price volatility between localized peripheral markets and centralized trading hubs; price adjustments will remain proportional across all regions.</w:t>
      </w:r>
    </w:p>
    <w:p w:rsidR="00000000" w:rsidDel="00000000" w:rsidP="00000000" w:rsidRDefault="00000000" w:rsidRPr="00000000" w14:paraId="00000022">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Focus on Pricing Inefficiencies and Trade Velocity</w:t>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velocity of money, the rate of which a unit of currency is exchanged for goods or services within a given timeframe, is a critical indicator of economic vitality. In localized regional hubs with low market participation, market makers frequently exploit their geographical isolation by imposing significant bid-ask spreads, thereby creating deliberate pricing inefficiencies. This secondary focus aims to measure where these microeconomic frictions stymie the broader macroeconomic flow of currency.</w:t>
      </w:r>
    </w:p>
    <w:p w:rsidR="00000000" w:rsidDel="00000000" w:rsidP="00000000" w:rsidRDefault="00000000" w:rsidRPr="00000000" w14:paraId="00000024">
      <w:pPr>
        <w:numPr>
          <w:ilvl w:val="0"/>
          <w:numId w:val="2"/>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H2 (Alternative): </w:t>
      </w:r>
      <w:r w:rsidDel="00000000" w:rsidR="00000000" w:rsidRPr="00000000">
        <w:rPr>
          <w:rFonts w:ascii="Times New Roman" w:cs="Times New Roman" w:eastAsia="Times New Roman" w:hAnsi="Times New Roman"/>
          <w:sz w:val="24"/>
          <w:szCs w:val="24"/>
          <w:rtl w:val="0"/>
        </w:rPr>
        <w:t xml:space="preserve">Pronounced microeconomic pricing inefficiencies, such as widened bid-ask spreads, at regional trade hubs significantly reduce the overall macroeconomic velocity of ISK trade volumes in those specific systems.</w:t>
      </w:r>
    </w:p>
    <w:p w:rsidR="00000000" w:rsidDel="00000000" w:rsidP="00000000" w:rsidRDefault="00000000" w:rsidRPr="00000000" w14:paraId="00000025">
      <w:pPr>
        <w:numPr>
          <w:ilvl w:val="0"/>
          <w:numId w:val="2"/>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H0 (Null): </w:t>
      </w:r>
      <w:r w:rsidDel="00000000" w:rsidR="00000000" w:rsidRPr="00000000">
        <w:rPr>
          <w:rFonts w:ascii="Times New Roman" w:cs="Times New Roman" w:eastAsia="Times New Roman" w:hAnsi="Times New Roman"/>
          <w:sz w:val="24"/>
          <w:szCs w:val="24"/>
          <w:rtl w:val="0"/>
        </w:rPr>
        <w:t xml:space="preserve">Microeconomic pricing inefficiencies at regional trade hubs have no statistically significant impact on the macroeconomic velocity of ISK trade volumes within those systems.</w:t>
      </w:r>
    </w:p>
    <w:p w:rsidR="00000000" w:rsidDel="00000000" w:rsidP="00000000" w:rsidRDefault="00000000" w:rsidRPr="00000000" w14:paraId="0000002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 Models, and Tools</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To rigorously test the aforementioned hypotheses, this capstone utilizes an automated, highly structured quantitative research methodology relying on custom data ingestion pipelines, large-scale data processing frameworks, and advanced statistical modeling.</w:t>
      </w:r>
    </w:p>
    <w:p w:rsidR="00000000" w:rsidDel="00000000" w:rsidP="00000000" w:rsidRDefault="00000000" w:rsidRPr="00000000" w14:paraId="0000002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Ingestion and Engineering Tools</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primary instrument for data collection is the EVE Swagger Interface (ESI), the official public RESTful API maintained by the game’s developers. To capture the massive volume of daily transactions across thousands of distinct item types, custom Python scripts will be deployed to query the paginated </w:t>
      </w:r>
      <w:r w:rsidDel="00000000" w:rsidR="00000000" w:rsidRPr="00000000">
        <w:rPr>
          <w:rFonts w:ascii="Consolas" w:cs="Consolas" w:eastAsia="Consolas" w:hAnsi="Consolas"/>
          <w:color w:val="545454"/>
          <w:sz w:val="24"/>
          <w:szCs w:val="24"/>
          <w:shd w:fill="fefefe" w:val="clear"/>
          <w:rtl w:val="0"/>
        </w:rPr>
        <w:t xml:space="preserve">/markets/{region_id}/history/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nsolas" w:cs="Consolas" w:eastAsia="Consolas" w:hAnsi="Consolas"/>
          <w:color w:val="545454"/>
          <w:sz w:val="24"/>
          <w:szCs w:val="24"/>
          <w:shd w:fill="fefefe" w:val="clear"/>
          <w:rtl w:val="0"/>
        </w:rPr>
        <w:t xml:space="preserve">/markets/{region_id}/orders/</w:t>
      </w:r>
      <w:r w:rsidDel="00000000" w:rsidR="00000000" w:rsidRPr="00000000">
        <w:rPr>
          <w:rFonts w:ascii="Times New Roman" w:cs="Times New Roman" w:eastAsia="Times New Roman" w:hAnsi="Times New Roman"/>
          <w:sz w:val="24"/>
          <w:szCs w:val="24"/>
          <w:rtl w:val="0"/>
        </w:rPr>
        <w:t xml:space="preserve"> endpoints. Given the extreme size of the resulting historical telemetry data, memory management is a primary technical challenge. The raw JSON payloads will be transformed into tabular formats and processed using the Dask library, which handles out-of-core memory computations efficiently. To ensure rapid query performance during the analytical phase, these massive dataframes will be converted and partitioned into Parquet files utilizing the PyArrow engine, grouping the datasets by region_id to cleanly separate central hubs from peripheral markets.</w:t>
      </w:r>
    </w:p>
    <w:p w:rsidR="00000000" w:rsidDel="00000000" w:rsidP="00000000" w:rsidRDefault="00000000" w:rsidRPr="00000000" w14:paraId="0000002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Tests and Econometric Modeling</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Evaluating the hypotheses requires the application of robust econometric models to analyze time-series fluctuations and variance.</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H1 and its corresponding null hypothesis, testing whether supply shocks cause a statistically significant difference in inflation rates between localized peripheral markets and central hubs, the research will employ an Autoregressive Integrated Moving Average (ARIMA) time-series model paired with a Difference-in-Differences (DiD statistical framework. The DiD model is highly effective for observational economic data, as it measures the divergent impact of a specific external event on two distinct groups. In this context, the model will benchmark the price trajectory of raw materials in the high-liquidity control group (Jita) against the low-liquidity treatment groups (peripheral regions) immediately following a documented supply shock. Additionally, a Two-Way Analysis of Variance (ANOVA) test will be conducted on the daily price variance to determine if the resulting volatility in peripheral systems is statistically significant enough to reject the null hypothesis.</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H2 and its corresponding null hypothesis, testing the impact of pricing inefficiencies on the velocity of ISK trade volumes, a Multiple Linear Regression model will be utilized. The dependent variable in this model will be the localized macroeconomic velocity of trade (calculated as the total daily ISK volume traded divided by the estimated active regional money supply). The primary independent variable will be the average bid-ask spread across top-traded commodity groups, serving as the quantitative proxy for microeconomic pricing inefficiency. The regression will isolate the specific impact of these widened spreads while holding other variables constant, such as the region’s active player population and historical baseline transaction volumes. If the regression yields a statistically significant negative coefficient for the bid-ask spread variable, it’ll provide the quantitative basis to reject the null hypothesis.</w:t>
      </w:r>
    </w:p>
    <w:p w:rsidR="00000000" w:rsidDel="00000000" w:rsidP="00000000" w:rsidRDefault="00000000" w:rsidRPr="00000000" w14:paraId="0000002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When conducting quantitative data analytics on virtual communities and digital economies, researchers, such as myself, need to adhere to established ethical standards regarding data privacy, corporate infrastructure, and academic integrity.</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foremost ethical consideration in this project is the protection of user privacy and the handling of Personally Identifiable Information (PII). While EVE Online relies on the continuous actions of its human player base to generate economic data, the research methodology purposefully restricts data collection to the public macroeconomic endpoints of the EVE Swagger Interface (ESI). The active orders and regional market history endpoints aggregate transactional data purely by item type, price, and region. They don’t expose individual character IDs, account names, billing information, or IP addresses. Consequently, telemetry data is natively anonymized prior to extraction. This ensures that no individual players’ in-game wealth, trading strategies, or personal identities can be unmasked or scrutinized, fully aligning with ethical data handling practices in digital research.</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ethical data gathering requires strict adherence to the developer’s Terms of Service (ToS) and End User License Agreement (EULA). CCP Games provides the public API specifically to encourage third-party tool development and academic exploration; however, irresponsibly aggressive data scraping can degrade server performance for actual players. The automated Python extraction pipelines designed for this research are built with ethical scraping protocols. They dynamically read the HTTP response headers to respect the ESI’s caching cycles (typically 300 seconds for market data) and employ programmed sleep functions and exponential back-off logic to ensure the scripts never exceed the API’s error threshold limits.</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is an ethical obligation regarding the contextual representation of the data. While the economy exists in a simulated digital space, the ISK traded and the assets destroyed in the game represent substantial investments of real-world time, social organization, and cognitive effort by the players (Kerr, 2023). Therefore, this capstone will treat the dataset with the same academic rigor and respect afforded to real-world financial data, contextualizing the findings as the product of genuine human decision making rather than abstract simulation outputs.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Epifanovskaya, L., Lakkaraju, K., Letchford, J., &amp; Reinhardt, J. (2018). Toward a quantitative approach to data gathering and analysis for nuclear deterrence policy. </w:t>
      </w:r>
      <w:r w:rsidDel="00000000" w:rsidR="00000000" w:rsidRPr="00000000">
        <w:rPr>
          <w:rFonts w:ascii="Times New Roman" w:cs="Times New Roman" w:eastAsia="Times New Roman" w:hAnsi="Times New Roman"/>
          <w:i w:val="1"/>
          <w:iCs w:val="1"/>
          <w:sz w:val="24"/>
          <w:szCs w:val="24"/>
          <w:rtl w:val="0"/>
        </w:rPr>
        <w:t xml:space="preserve">Springer Proceedings in Complexity, </w:t>
      </w:r>
      <w:r w:rsidDel="00000000" w:rsidR="00000000" w:rsidRPr="00000000">
        <w:rPr>
          <w:rFonts w:ascii="Times New Roman" w:cs="Times New Roman" w:eastAsia="Times New Roman" w:hAnsi="Times New Roman"/>
          <w:sz w:val="24"/>
          <w:szCs w:val="24"/>
          <w:rtl w:val="0"/>
        </w:rPr>
        <w:t xml:space="preserve">245-252. </w:t>
      </w:r>
      <w:hyperlink r:id="rId6">
        <w:r w:rsidDel="00000000" w:rsidR="00000000" w:rsidRPr="00000000">
          <w:rPr>
            <w:rFonts w:ascii="Times New Roman" w:cs="Times New Roman" w:eastAsia="Times New Roman" w:hAnsi="Times New Roman"/>
            <w:color w:val="1155cc"/>
            <w:sz w:val="24"/>
            <w:szCs w:val="24"/>
            <w:u w:val="single"/>
            <w:rtl w:val="0"/>
          </w:rPr>
          <w:t xml:space="preserve">https://link.springer.com/chapter/10.1007/978-3-319-96661-8_26</w:t>
        </w:r>
      </w:hyperlink>
      <w:r w:rsidDel="00000000" w:rsidR="00000000" w:rsidRPr="00000000">
        <w:rPr>
          <w:rtl w:val="0"/>
        </w:rPr>
      </w:r>
    </w:p>
    <w:p w:rsidR="00000000" w:rsidDel="00000000" w:rsidP="00000000" w:rsidRDefault="00000000" w:rsidRPr="00000000" w14:paraId="0000003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Gudmundsson, E. (2007). </w:t>
      </w:r>
      <w:r w:rsidDel="00000000" w:rsidR="00000000" w:rsidRPr="00000000">
        <w:rPr>
          <w:rFonts w:ascii="Times New Roman" w:cs="Times New Roman" w:eastAsia="Times New Roman" w:hAnsi="Times New Roman"/>
          <w:i w:val="1"/>
          <w:iCs w:val="1"/>
          <w:sz w:val="24"/>
          <w:szCs w:val="24"/>
          <w:rtl w:val="0"/>
        </w:rPr>
        <w:t xml:space="preserve">Quarterly Economic Newsletter. </w:t>
      </w:r>
      <w:r w:rsidDel="00000000" w:rsidR="00000000" w:rsidRPr="00000000">
        <w:rPr>
          <w:rFonts w:ascii="Times New Roman" w:cs="Times New Roman" w:eastAsia="Times New Roman" w:hAnsi="Times New Roman"/>
          <w:sz w:val="24"/>
          <w:szCs w:val="24"/>
          <w:rtl w:val="0"/>
        </w:rPr>
        <w:t xml:space="preserve">CCP Games. </w:t>
      </w:r>
      <w:hyperlink r:id="rId7">
        <w:r w:rsidDel="00000000" w:rsidR="00000000" w:rsidRPr="00000000">
          <w:rPr>
            <w:rFonts w:ascii="Times New Roman" w:cs="Times New Roman" w:eastAsia="Times New Roman" w:hAnsi="Times New Roman"/>
            <w:color w:val="1155cc"/>
            <w:sz w:val="24"/>
            <w:szCs w:val="24"/>
            <w:u w:val="single"/>
            <w:rtl w:val="0"/>
          </w:rPr>
          <w:t xml:space="preserve">https://www.eveonline.com/news/view/quarterly-economic-newsletter-3rd-quarter-2007</w:t>
        </w:r>
      </w:hyperlink>
      <w:r w:rsidDel="00000000" w:rsidR="00000000" w:rsidRPr="00000000">
        <w:rPr>
          <w:rtl w:val="0"/>
        </w:rPr>
      </w:r>
    </w:p>
    <w:p w:rsidR="00000000" w:rsidDel="00000000" w:rsidP="00000000" w:rsidRDefault="00000000" w:rsidRPr="00000000" w14:paraId="0000003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Kerr, A. (2023). Economy. </w:t>
      </w:r>
      <w:r w:rsidDel="00000000" w:rsidR="00000000" w:rsidRPr="00000000">
        <w:rPr>
          <w:rFonts w:ascii="Times New Roman" w:cs="Times New Roman" w:eastAsia="Times New Roman" w:hAnsi="Times New Roman"/>
          <w:i w:val="1"/>
          <w:iCs w:val="1"/>
          <w:sz w:val="24"/>
          <w:szCs w:val="24"/>
          <w:rtl w:val="0"/>
        </w:rPr>
        <w:t xml:space="preserve">The Routledge Companion to Video Game Studies, </w:t>
      </w:r>
      <w:r w:rsidDel="00000000" w:rsidR="00000000" w:rsidRPr="00000000">
        <w:rPr>
          <w:rFonts w:ascii="Times New Roman" w:cs="Times New Roman" w:eastAsia="Times New Roman" w:hAnsi="Times New Roman"/>
          <w:sz w:val="24"/>
          <w:szCs w:val="24"/>
          <w:rtl w:val="0"/>
        </w:rPr>
        <w:t xml:space="preserve">80-87. </w:t>
      </w:r>
      <w:hyperlink r:id="rId8">
        <w:r w:rsidDel="00000000" w:rsidR="00000000" w:rsidRPr="00000000">
          <w:rPr>
            <w:rFonts w:ascii="Times New Roman" w:cs="Times New Roman" w:eastAsia="Times New Roman" w:hAnsi="Times New Roman"/>
            <w:color w:val="1155cc"/>
            <w:sz w:val="24"/>
            <w:szCs w:val="24"/>
            <w:u w:val="single"/>
            <w:rtl w:val="0"/>
          </w:rPr>
          <w:t xml:space="preserve">https://www.taylorfrancis.com/chapters/edit/10.4324/9781003214977-13/economy-aphra-kerr</w:t>
        </w:r>
      </w:hyperlink>
      <w:r w:rsidDel="00000000" w:rsidR="00000000" w:rsidRPr="00000000">
        <w:rPr>
          <w:rtl w:val="0"/>
        </w:rPr>
      </w:r>
    </w:p>
    <w:p w:rsidR="00000000" w:rsidDel="00000000" w:rsidP="00000000" w:rsidRDefault="00000000" w:rsidRPr="00000000" w14:paraId="0000003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Lehdonvirta, V., &amp; Castronova, E. (2014). </w:t>
      </w:r>
      <w:r w:rsidDel="00000000" w:rsidR="00000000" w:rsidRPr="00000000">
        <w:rPr>
          <w:rFonts w:ascii="Times New Roman" w:cs="Times New Roman" w:eastAsia="Times New Roman" w:hAnsi="Times New Roman"/>
          <w:i w:val="1"/>
          <w:iCs w:val="1"/>
          <w:sz w:val="24"/>
          <w:szCs w:val="24"/>
          <w:rtl w:val="0"/>
        </w:rPr>
        <w:t xml:space="preserve">Virtual economies: Design and analysis. </w:t>
      </w:r>
      <w:r w:rsidDel="00000000" w:rsidR="00000000" w:rsidRPr="00000000">
        <w:rPr>
          <w:rFonts w:ascii="Times New Roman" w:cs="Times New Roman" w:eastAsia="Times New Roman" w:hAnsi="Times New Roman"/>
          <w:sz w:val="24"/>
          <w:szCs w:val="24"/>
          <w:rtl w:val="0"/>
        </w:rPr>
        <w:t xml:space="preserve">MIT Press. </w:t>
      </w:r>
      <w:hyperlink r:id="rId9">
        <w:r w:rsidDel="00000000" w:rsidR="00000000" w:rsidRPr="00000000">
          <w:rPr>
            <w:rFonts w:ascii="Times New Roman" w:cs="Times New Roman" w:eastAsia="Times New Roman" w:hAnsi="Times New Roman"/>
            <w:color w:val="1155cc"/>
            <w:sz w:val="24"/>
            <w:szCs w:val="24"/>
            <w:u w:val="single"/>
            <w:rtl w:val="0"/>
          </w:rPr>
          <w:t xml:space="preserve">https://direct.mit.edu/books/monograph/3441/Virtual-EconomiesDesign-and-Analysis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D">
      <w:pPr>
        <w:spacing w:line="480" w:lineRule="auto"/>
        <w:ind w:left="720" w:hanging="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Parkkila, J., Ikonen, J., &amp; Porras, J. (2015). Where is the research on connecting game worlds? –A systematic mapping study. </w:t>
      </w:r>
      <w:r w:rsidDel="00000000" w:rsidR="00000000" w:rsidRPr="00000000">
        <w:rPr>
          <w:rFonts w:ascii="Times New Roman" w:cs="Times New Roman" w:eastAsia="Times New Roman" w:hAnsi="Times New Roman"/>
          <w:i w:val="1"/>
          <w:iCs w:val="1"/>
          <w:sz w:val="24"/>
          <w:szCs w:val="24"/>
          <w:rtl w:val="0"/>
        </w:rPr>
        <w:t xml:space="preserve">Computer Science Review, 18, </w:t>
      </w:r>
      <w:r w:rsidDel="00000000" w:rsidR="00000000" w:rsidRPr="00000000">
        <w:rPr>
          <w:rFonts w:ascii="Times New Roman" w:cs="Times New Roman" w:eastAsia="Times New Roman" w:hAnsi="Times New Roman"/>
          <w:sz w:val="24"/>
          <w:szCs w:val="24"/>
          <w:rtl w:val="0"/>
        </w:rPr>
        <w:t xml:space="preserve">46-58. </w:t>
      </w:r>
      <w:hyperlink r:id="rId10">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https://www.sciencedirect.com/science/article/abs/pii/S1574013715300289?via%3Dihub</w:t>
        </w:r>
      </w:hyperlink>
      <w:r w:rsidDel="00000000" w:rsidR="00000000" w:rsidRPr="00000000">
        <w:rPr>
          <w:rtl w:val="0"/>
        </w:rPr>
      </w:r>
    </w:p>
    <w:sectPr>
      <w:headerReference r:id="rId11" w:type="default"/>
      <w:head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s://www.sciencedirect.com/science/article/abs/pii/S1574013715300289?via%3Dihub" TargetMode="External"/><Relationship Id="rId12" Type="http://schemas.openxmlformats.org/officeDocument/2006/relationships/header" Target="header1.xml"/><Relationship Id="rId9" Type="http://schemas.openxmlformats.org/officeDocument/2006/relationships/hyperlink" Target="https://direct.mit.edu/books/monograph/3441/Virtual-EconomiesDesign-and-Analysis" TargetMode="External"/><Relationship Id="rId5" Type="http://schemas.openxmlformats.org/officeDocument/2006/relationships/styles" Target="styles.xml"/><Relationship Id="rId6" Type="http://schemas.openxmlformats.org/officeDocument/2006/relationships/hyperlink" Target="https://link.springer.com/chapter/10.1007/978-3-319-96661-8_26" TargetMode="External"/><Relationship Id="rId7" Type="http://schemas.openxmlformats.org/officeDocument/2006/relationships/hyperlink" Target="https://www.eveonline.com/news/view/quarterly-economic-newsletter-3rd-quarter-2007" TargetMode="External"/><Relationship Id="rId8" Type="http://schemas.openxmlformats.org/officeDocument/2006/relationships/hyperlink" Target="https://www.taylorfrancis.com/chapters/edit/10.4324/9781003214977-13/economy-aphra-ke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