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E5E6F"/>
          <w:spacing w:val="40"/>
          <w:sz w:val="20"/>
          <w:szCs w:val="20"/>
        </w:rPr>
        <w:t xml:space="preserve">PRODUCT VISION</w:t>
      </w:r>
    </w:p>
    <w:p>
      <w:pPr>
        <w:spacing w:after="100"/>
      </w:pPr>
      <w:r>
        <w:rPr>
          <w:rFonts w:ascii="Calibri" w:cs="Calibri" w:eastAsia="Calibri" w:hAnsi="Calibri"/>
          <w:b/>
          <w:bCs/>
          <w:color w:val="1F2A37"/>
          <w:sz w:val="52"/>
          <w:szCs w:val="52"/>
        </w:rPr>
        <w:t xml:space="preserve">Order Rescue</w:t>
      </w:r>
    </w:p>
    <w:p>
      <w:pPr>
        <w:pBdr>
          <w:bottom w:val="single" w:color="0E5E6F" w:sz="12" w:space="6"/>
        </w:pBdr>
        <w:spacing w:after="200"/>
      </w:pPr>
      <w:r>
        <w:rPr>
          <w:rFonts w:ascii="Calibri" w:cs="Calibri" w:eastAsia="Calibri" w:hAnsi="Calibri"/>
          <w:color w:val="5B6270"/>
          <w:sz w:val="24"/>
          <w:szCs w:val="24"/>
        </w:rPr>
        <w:t xml:space="preserve">Adaptive Delivery Recovery Agent: from a failure code to the right recovery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20"/>
                <w:szCs w:val="20"/>
              </w:rPr>
              <w:t xml:space="preserve">Document Definition</w:t>
            </w:r>
          </w:p>
        </w:tc>
        <w:tc>
          <w:tcPr>
            <w:tcW w:type="dxa" w:w="72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20"/>
                <w:szCs w:val="20"/>
              </w:rPr>
              <w:t xml:space="preserve">The Product Vision is a broad, high-level statement of what the product aspires to achieve, its purpose, long-term objectives, and how it creates value for users and the business.</w:t>
            </w:r>
          </w:p>
        </w:tc>
      </w:tr>
      <w:tr>
        <w:trPr>
          <w:cantSplit/>
        </w:trPr>
        <w:tc>
          <w:tcPr>
            <w:tcW w:type="dxa" w:w="2400"/>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20"/>
                <w:szCs w:val="20"/>
              </w:rPr>
              <w:t xml:space="preserve">Purpose</w:t>
            </w:r>
          </w:p>
        </w:tc>
        <w:tc>
          <w:tcPr>
            <w:tcW w:type="dxa" w:w="72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20"/>
                <w:szCs w:val="20"/>
              </w:rPr>
              <w:t xml:space="preserve">Explain why Order Rescue exists and what problem it solves, so that stakeholders and the whole team share one direction.</w:t>
            </w:r>
          </w:p>
        </w:tc>
      </w:tr>
      <w:tr>
        <w:trPr>
          <w:cantSplit/>
        </w:trPr>
        <w:tc>
          <w:tcPr>
            <w:tcW w:type="dxa" w:w="2400"/>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20"/>
                <w:szCs w:val="20"/>
              </w:rPr>
              <w:t xml:space="preserve">Who to Share</w:t>
            </w:r>
          </w:p>
        </w:tc>
        <w:tc>
          <w:tcPr>
            <w:tcW w:type="dxa" w:w="72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20"/>
                <w:szCs w:val="20"/>
              </w:rPr>
              <w:t xml:space="preserve">Stakeholders, executives, hackathon judges, and the whole team (Lucas, Phúc, Hải, Kha).</w:t>
            </w:r>
          </w:p>
        </w:tc>
      </w:tr>
      <w:tr>
        <w:trPr>
          <w:cantSplit/>
        </w:trPr>
        <w:tc>
          <w:tcPr>
            <w:tcW w:type="dxa" w:w="2400"/>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20"/>
                <w:szCs w:val="20"/>
              </w:rPr>
              <w:t xml:space="preserve">Document Scope</w:t>
            </w:r>
          </w:p>
        </w:tc>
        <w:tc>
          <w:tcPr>
            <w:tcW w:type="dxa" w:w="72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20"/>
                <w:szCs w:val="20"/>
              </w:rPr>
              <w:t xml:space="preserve">Inspirational and strategic. Focuses on "why" and "for whom". It does not specify implementation details; those live in the Software Architecture Document.</w:t>
            </w:r>
          </w:p>
        </w:tc>
      </w:tr>
    </w:tbl>
    <w:p>
      <w:pPr>
        <w:spacing w:after="80"/>
      </w:pPr>
    </w:p>
    <w:p>
      <w:pPr>
        <w:spacing w:after="120" w:line="276"/>
      </w:pPr>
      <w:r>
        <w:rPr>
          <w:rFonts w:ascii="Calibri" w:cs="Calibri" w:eastAsia="Calibri" w:hAnsi="Calibri"/>
          <w:b/>
          <w:bCs/>
          <w:color w:val="1F2A37"/>
          <w:sz w:val="22"/>
          <w:szCs w:val="22"/>
        </w:rPr>
        <w:t xml:space="preserve">Product:</w:t>
      </w:r>
      <w:r>
        <w:rPr>
          <w:rFonts w:ascii="Calibri" w:cs="Calibri" w:eastAsia="Calibri" w:hAnsi="Calibri"/>
          <w:color w:val="1F2A37"/>
          <w:sz w:val="22"/>
          <w:szCs w:val="22"/>
        </w:rPr>
        <w:t xml:space="preserve"> "Order Rescue" - an explainable, policy-bounded AI decision layer that helps Operations teams recover failed first-attempt deliveries before another delivery attempt is wasted.</w:t>
      </w:r>
    </w:p>
    <w:p>
      <w:pPr>
        <w:pStyle w:val="Heading1"/>
        <w:keepNext/>
        <w:spacing w:after="140" w:before="360"/>
      </w:pPr>
      <w:r>
        <w:rPr>
          <w:rFonts w:ascii="Calibri" w:cs="Calibri" w:eastAsia="Calibri" w:hAnsi="Calibri"/>
          <w:b/>
          <w:bCs/>
          <w:color w:val="0E5E6F"/>
          <w:sz w:val="32"/>
          <w:szCs w:val="32"/>
        </w:rPr>
        <w:t xml:space="preserve">1. Problem Statement</w:t>
      </w:r>
    </w:p>
    <w:p>
      <w:pPr>
        <w:spacing w:after="120" w:line="276"/>
      </w:pPr>
      <w:r>
        <w:rPr>
          <w:rFonts w:ascii="Calibri" w:cs="Calibri" w:eastAsia="Calibri" w:hAnsi="Calibri"/>
          <w:color w:val="1F2A37"/>
          <w:sz w:val="22"/>
          <w:szCs w:val="22"/>
        </w:rPr>
        <w:t xml:space="preserve">When a delivery attempt fails, the system records a status such as RECIPIENT_UNAVAILABLE, CONTACT_FAILED or REFUSED. That status is an </w:t>
      </w:r>
      <w:r>
        <w:rPr>
          <w:rFonts w:ascii="Calibri" w:cs="Calibri" w:eastAsia="Calibri" w:hAnsi="Calibri"/>
          <w:b/>
          <w:bCs/>
          <w:color w:val="1F2A37"/>
          <w:sz w:val="22"/>
          <w:szCs w:val="22"/>
        </w:rPr>
        <w:t xml:space="preserve">observation, not a cause</w:t>
      </w:r>
      <w:r>
        <w:rPr>
          <w:rFonts w:ascii="Calibri" w:cs="Calibri" w:eastAsia="Calibri" w:hAnsi="Calibri"/>
          <w:color w:val="1F2A37"/>
          <w:sz w:val="22"/>
          <w:szCs w:val="22"/>
        </w:rPr>
        <w:t xml:space="preserve">. Behind one code can sit very different realities: the buyer was at work, the address lacked a landmark, the phone had no signal, the buyer did not recognise a gift order, cash for COD was not ready, or the route was paused by flooding.</w:t>
      </w:r>
    </w:p>
    <w:p>
      <w:pPr>
        <w:spacing w:after="120" w:line="276"/>
      </w:pPr>
      <w:r>
        <w:rPr>
          <w:rFonts w:ascii="Calibri" w:cs="Calibri" w:eastAsia="Calibri" w:hAnsi="Calibri"/>
          <w:color w:val="1F2A37"/>
          <w:sz w:val="22"/>
          <w:szCs w:val="22"/>
        </w:rPr>
        <w:t xml:space="preserve">Treating every failure the same way wastes scarce courier capacity, can end in avoidable return logistics, and risks blaming the buyer on the strength of a single code. Public Shopee guidance itself notes that delivery status can be incorrect or incomplete, and research on last-mile delivery documents that false "customer unavailable" remarks are a known operational risk.</w:t>
      </w:r>
    </w:p>
    <w:p>
      <w:pPr>
        <w:pStyle w:val="Heading1"/>
        <w:keepNext/>
        <w:spacing w:after="140" w:before="360"/>
      </w:pPr>
      <w:r>
        <w:rPr>
          <w:rFonts w:ascii="Calibri" w:cs="Calibri" w:eastAsia="Calibri" w:hAnsi="Calibri"/>
          <w:b/>
          <w:bCs/>
          <w:color w:val="0E5E6F"/>
          <w:sz w:val="32"/>
          <w:szCs w:val="32"/>
        </w:rPr>
        <w:t xml:space="preserve">2. Vision</w:t>
      </w:r>
    </w:p>
    <w:p>
      <w:pPr>
        <w:spacing w:after="120" w:line="276"/>
      </w:pPr>
      <w:r>
        <w:rPr>
          <w:rFonts w:ascii="Calibri" w:cs="Calibri" w:eastAsia="Calibri" w:hAnsi="Calibri"/>
          <w:color w:val="1F2A37"/>
          <w:sz w:val="22"/>
          <w:szCs w:val="22"/>
        </w:rPr>
        <w:t xml:space="preserve">We recognise a gap between </w:t>
      </w:r>
      <w:r>
        <w:rPr>
          <w:rFonts w:ascii="Calibri" w:cs="Calibri" w:eastAsia="Calibri" w:hAnsi="Calibri"/>
          <w:b/>
          <w:bCs/>
          <w:color w:val="1F2A37"/>
          <w:sz w:val="22"/>
          <w:szCs w:val="22"/>
        </w:rPr>
        <w:t xml:space="preserve">what the delivery system recorded</w:t>
      </w:r>
      <w:r>
        <w:rPr>
          <w:rFonts w:ascii="Calibri" w:cs="Calibri" w:eastAsia="Calibri" w:hAnsi="Calibri"/>
          <w:color w:val="1F2A37"/>
          <w:sz w:val="22"/>
          <w:szCs w:val="22"/>
        </w:rPr>
        <w:t xml:space="preserve"> and </w:t>
      </w:r>
      <w:r>
        <w:rPr>
          <w:rFonts w:ascii="Calibri" w:cs="Calibri" w:eastAsia="Calibri" w:hAnsi="Calibri"/>
          <w:b/>
          <w:bCs/>
          <w:color w:val="1F2A37"/>
          <w:sz w:val="22"/>
          <w:szCs w:val="22"/>
        </w:rPr>
        <w:t xml:space="preserve">what Operations must decide next</w:t>
      </w:r>
      <w:r>
        <w:rPr>
          <w:rFonts w:ascii="Calibri" w:cs="Calibri" w:eastAsia="Calibri" w:hAnsi="Calibri"/>
          <w:color w:val="1F2A37"/>
          <w:sz w:val="22"/>
          <w:szCs w:val="22"/>
        </w:rPr>
        <w:t xml:space="preserve">. Order Rescue closes that gap with an evidence-first loop: read the raw data, state the most likely cause with sourced evidence and an honest confidence level, name what is still missing, ask the buyer at most one useful question, and then recommend the next action to a human Operations reviewer.</w:t>
      </w:r>
    </w:p>
    <w:p>
      <w:pPr>
        <w:spacing w:after="120" w:line="276"/>
      </w:pPr>
      <w:r>
        <w:rPr>
          <w:rFonts w:ascii="Calibri" w:cs="Calibri" w:eastAsia="Calibri" w:hAnsi="Calibri"/>
          <w:color w:val="1F2A37"/>
          <w:sz w:val="22"/>
          <w:szCs w:val="22"/>
        </w:rPr>
        <w:t xml:space="preserve">Order Rescue creates a </w:t>
      </w:r>
      <w:r>
        <w:rPr>
          <w:rFonts w:ascii="Calibri" w:cs="Calibri" w:eastAsia="Calibri" w:hAnsi="Calibri"/>
          <w:b/>
          <w:bCs/>
          <w:color w:val="1F2A37"/>
          <w:sz w:val="22"/>
          <w:szCs w:val="22"/>
        </w:rPr>
        <w:t xml:space="preserve">trustworthy decision layer</w:t>
      </w:r>
      <w:r>
        <w:rPr>
          <w:rFonts w:ascii="Calibri" w:cs="Calibri" w:eastAsia="Calibri" w:hAnsi="Calibri"/>
          <w:color w:val="1F2A37"/>
          <w:sz w:val="22"/>
          <w:szCs w:val="22"/>
        </w:rPr>
        <w:t xml:space="preserve"> between raw delivery data and Ops action. The language model proposes; a deterministic policy gate decides what is permitted; a human stays in control. Every recommendation can be traced back to the source records and the buyer's own words, and nothing is executed on the buyer's or courier's behalf.</w:t>
      </w:r>
    </w:p>
    <w:p>
      <w:pPr>
        <w:spacing w:after="120" w:line="276"/>
      </w:pPr>
      <w:r>
        <w:rPr>
          <w:rFonts w:ascii="Calibri" w:cs="Calibri" w:eastAsia="Calibri" w:hAnsi="Calibri"/>
          <w:color w:val="1F2A37"/>
          <w:sz w:val="22"/>
          <w:szCs w:val="22"/>
        </w:rPr>
        <w:t xml:space="preserve">From a single failure code, Order Rescue can reach different recommendations when the evidence differs: ask a clarifying question, recommend a standard re-attempt, hold for a verified service disruption, or escalate to Ops review. It will never claim a cause that the evidence does not support, and it treats buyer silence as silence, not as refusal.</w:t>
      </w:r>
    </w:p>
    <w:p>
      <w:pPr>
        <w:spacing w:after="120" w:line="276"/>
      </w:pPr>
      <w:r>
        <w:rPr>
          <w:rFonts w:ascii="Calibri" w:cs="Calibri" w:eastAsia="Calibri" w:hAnsi="Calibri"/>
          <w:color w:val="1F2A37"/>
          <w:sz w:val="22"/>
          <w:szCs w:val="22"/>
        </w:rPr>
        <w:t xml:space="preserve">Our goal for the hackathon is to prove this loop end to end on </w:t>
      </w:r>
      <w:r>
        <w:rPr>
          <w:rFonts w:ascii="Calibri" w:cs="Calibri" w:eastAsia="Calibri" w:hAnsi="Calibri"/>
          <w:b/>
          <w:bCs/>
          <w:color w:val="1F2A37"/>
          <w:sz w:val="22"/>
          <w:szCs w:val="22"/>
        </w:rPr>
        <w:t xml:space="preserve">30 synthetic scenarios</w:t>
      </w:r>
      <w:r>
        <w:rPr>
          <w:rFonts w:ascii="Calibri" w:cs="Calibri" w:eastAsia="Calibri" w:hAnsi="Calibri"/>
          <w:color w:val="1F2A37"/>
          <w:sz w:val="22"/>
          <w:szCs w:val="22"/>
        </w:rPr>
        <w:t xml:space="preserve">. Our long-term aspiration is to run it in shadow mode beside real Operations teams, with authorised data access, so that its recommendations can be compared with real outcomes before anything is automated.</w:t>
      </w:r>
    </w:p>
    <w:p>
      <w:pPr>
        <w:pStyle w:val="Heading1"/>
        <w:keepNext/>
        <w:spacing w:after="140" w:before="360"/>
      </w:pPr>
      <w:r>
        <w:rPr>
          <w:rFonts w:ascii="Calibri" w:cs="Calibri" w:eastAsia="Calibri" w:hAnsi="Calibri"/>
          <w:b/>
          <w:bCs/>
          <w:color w:val="0E5E6F"/>
          <w:sz w:val="32"/>
          <w:szCs w:val="32"/>
        </w:rPr>
        <w:t xml:space="preserve">3. The Pain We're Solving</w:t>
      </w:r>
    </w:p>
    <w:p>
      <w:pPr>
        <w:pStyle w:val="Heading3"/>
        <w:keepNext/>
        <w:spacing w:after="80" w:before="160"/>
      </w:pPr>
      <w:r>
        <w:rPr>
          <w:rFonts w:ascii="Calibri" w:cs="Calibri" w:eastAsia="Calibri" w:hAnsi="Calibri"/>
          <w:b/>
          <w:bCs/>
          <w:color w:val="5B6270"/>
          <w:sz w:val="23"/>
          <w:szCs w:val="23"/>
        </w:rPr>
        <w:t xml:space="preserve">For Who</w:t>
      </w:r>
    </w:p>
    <w:p>
      <w:pPr>
        <w:pStyle w:val="ListParagraph"/>
        <w:numPr>
          <w:ilvl w:val="0"/>
          <w:numId w:val="2"/>
        </w:numPr>
        <w:spacing w:after="60" w:line="264"/>
      </w:pPr>
      <w:r>
        <w:rPr>
          <w:rFonts w:ascii="Calibri" w:cs="Calibri" w:eastAsia="Calibri" w:hAnsi="Calibri"/>
          <w:b/>
          <w:bCs/>
          <w:color w:val="1F2A37"/>
          <w:sz w:val="22"/>
          <w:szCs w:val="22"/>
        </w:rPr>
        <w:t xml:space="preserve">Primary:</w:t>
      </w:r>
      <w:r>
        <w:rPr>
          <w:rFonts w:ascii="Calibri" w:cs="Calibri" w:eastAsia="Calibri" w:hAnsi="Calibri"/>
          <w:color w:val="1F2A37"/>
          <w:sz w:val="22"/>
          <w:szCs w:val="22"/>
        </w:rPr>
        <w:t xml:space="preserve"> last-mile Operations teams (for example Shopee / SPX style failed-delivery recovery, retry and return desks) who triage failed deliveries every day.</w:t>
      </w:r>
    </w:p>
    <w:p>
      <w:pPr>
        <w:pStyle w:val="ListParagraph"/>
        <w:numPr>
          <w:ilvl w:val="0"/>
          <w:numId w:val="2"/>
        </w:numPr>
        <w:spacing w:after="60" w:line="264"/>
      </w:pPr>
      <w:r>
        <w:rPr>
          <w:rFonts w:ascii="Calibri" w:cs="Calibri" w:eastAsia="Calibri" w:hAnsi="Calibri"/>
          <w:b/>
          <w:bCs/>
          <w:color w:val="1F2A37"/>
          <w:sz w:val="22"/>
          <w:szCs w:val="22"/>
        </w:rPr>
        <w:t xml:space="preserve">Affected:</w:t>
      </w:r>
      <w:r>
        <w:rPr>
          <w:rFonts w:ascii="Calibri" w:cs="Calibri" w:eastAsia="Calibri" w:hAnsi="Calibri"/>
          <w:color w:val="1F2A37"/>
          <w:sz w:val="22"/>
          <w:szCs w:val="22"/>
        </w:rPr>
        <w:t xml:space="preserve"> buyers and recipients, who may need to clarify availability or intent and who should not be blamed for a code they did not choose.</w:t>
      </w:r>
    </w:p>
    <w:p>
      <w:pPr>
        <w:pStyle w:val="ListParagraph"/>
        <w:numPr>
          <w:ilvl w:val="0"/>
          <w:numId w:val="2"/>
        </w:numPr>
        <w:spacing w:after="60" w:line="264"/>
      </w:pPr>
      <w:r>
        <w:rPr>
          <w:rFonts w:ascii="Calibri" w:cs="Calibri" w:eastAsia="Calibri" w:hAnsi="Calibri"/>
          <w:b/>
          <w:bCs/>
          <w:color w:val="1F2A37"/>
          <w:sz w:val="22"/>
          <w:szCs w:val="22"/>
        </w:rPr>
        <w:t xml:space="preserve">Indirect:</w:t>
      </w:r>
      <w:r>
        <w:rPr>
          <w:rFonts w:ascii="Calibri" w:cs="Calibri" w:eastAsia="Calibri" w:hAnsi="Calibri"/>
          <w:color w:val="1F2A37"/>
          <w:sz w:val="22"/>
          <w:szCs w:val="22"/>
        </w:rPr>
        <w:t xml:space="preserve"> sellers, through fewer lost orders and less inventory tied up in reverse logistics.</w:t>
      </w:r>
    </w:p>
    <w:p>
      <w:pPr>
        <w:pStyle w:val="Heading3"/>
        <w:keepNext/>
        <w:spacing w:after="80" w:before="160"/>
      </w:pPr>
      <w:r>
        <w:rPr>
          <w:rFonts w:ascii="Calibri" w:cs="Calibri" w:eastAsia="Calibri" w:hAnsi="Calibri"/>
          <w:b/>
          <w:bCs/>
          <w:color w:val="5B6270"/>
          <w:sz w:val="23"/>
          <w:szCs w:val="23"/>
        </w:rPr>
        <w:t xml:space="preserve">For What</w:t>
      </w:r>
    </w:p>
    <w:p>
      <w:pPr>
        <w:spacing w:after="120" w:line="276"/>
      </w:pPr>
      <w:r>
        <w:rPr>
          <w:rFonts w:ascii="Calibri" w:cs="Calibri" w:eastAsia="Calibri" w:hAnsi="Calibri"/>
          <w:color w:val="1F2A37"/>
          <w:sz w:val="22"/>
          <w:szCs w:val="22"/>
        </w:rPr>
        <w:t xml:space="preserve">They lack a way to turn a generic failure code into a </w:t>
      </w:r>
      <w:r>
        <w:rPr>
          <w:rFonts w:ascii="Calibri" w:cs="Calibri" w:eastAsia="Calibri" w:hAnsi="Calibri"/>
          <w:b/>
          <w:bCs/>
          <w:color w:val="1F2A37"/>
          <w:sz w:val="22"/>
          <w:szCs w:val="22"/>
        </w:rPr>
        <w:t xml:space="preserve">diagnosis with evidence</w:t>
      </w:r>
      <w:r>
        <w:rPr>
          <w:rFonts w:ascii="Calibri" w:cs="Calibri" w:eastAsia="Calibri" w:hAnsi="Calibri"/>
          <w:color w:val="1F2A37"/>
          <w:sz w:val="22"/>
          <w:szCs w:val="22"/>
        </w:rPr>
        <w:t xml:space="preserve">. Today the next step is often the same for every case (try again, or return), because the cause is unknown and asking the buyer costs time. Ops needs to know which cases are worth a re-attempt, which need one clarifying question, which are blocked by a disruption, and which need a human decision, and needs to see why.</w:t>
      </w:r>
    </w:p>
    <w:p>
      <w:pPr>
        <w:pStyle w:val="Heading3"/>
        <w:keepNext/>
        <w:spacing w:after="80" w:before="160"/>
      </w:pPr>
      <w:r>
        <w:rPr>
          <w:rFonts w:ascii="Calibri" w:cs="Calibri" w:eastAsia="Calibri" w:hAnsi="Calibri"/>
          <w:b/>
          <w:bCs/>
          <w:color w:val="5B6270"/>
          <w:sz w:val="23"/>
          <w:szCs w:val="23"/>
        </w:rPr>
        <w:t xml:space="preserve">Impact</w:t>
      </w:r>
    </w:p>
    <w:p>
      <w:pPr>
        <w:spacing w:after="120" w:line="276"/>
      </w:pPr>
      <w:r>
        <w:rPr>
          <w:rFonts w:ascii="Calibri" w:cs="Calibri" w:eastAsia="Calibri" w:hAnsi="Calibri"/>
          <w:color w:val="1F2A37"/>
          <w:sz w:val="22"/>
          <w:szCs w:val="22"/>
        </w:rPr>
        <w:t xml:space="preserve">By separating raw data, AI assessment and policy decision, Order Rescue aims to enable:</w:t>
      </w:r>
    </w:p>
    <w:p>
      <w:pPr>
        <w:pStyle w:val="ListParagraph"/>
        <w:numPr>
          <w:ilvl w:val="0"/>
          <w:numId w:val="2"/>
        </w:numPr>
        <w:spacing w:after="60" w:line="264"/>
      </w:pPr>
      <w:r>
        <w:rPr>
          <w:rFonts w:ascii="Calibri" w:cs="Calibri" w:eastAsia="Calibri" w:hAnsi="Calibri"/>
          <w:color w:val="1F2A37"/>
          <w:sz w:val="22"/>
          <w:szCs w:val="22"/>
        </w:rPr>
        <w:t xml:space="preserve">Fewer wasted re-attempts, because re-attempts are recommended only when intent, availability and delivery information are supported by evidence.</w:t>
      </w:r>
    </w:p>
    <w:p>
      <w:pPr>
        <w:pStyle w:val="ListParagraph"/>
        <w:numPr>
          <w:ilvl w:val="0"/>
          <w:numId w:val="2"/>
        </w:numPr>
        <w:spacing w:after="60" w:line="264"/>
      </w:pPr>
      <w:r>
        <w:rPr>
          <w:rFonts w:ascii="Calibri" w:cs="Calibri" w:eastAsia="Calibri" w:hAnsi="Calibri"/>
          <w:color w:val="1F2A37"/>
          <w:sz w:val="22"/>
          <w:szCs w:val="22"/>
        </w:rPr>
        <w:t xml:space="preserve">Faster, more consistent Ops triage, because each case arrives with sourced evidence, a confidence level and the missing information.</w:t>
      </w:r>
    </w:p>
    <w:p>
      <w:pPr>
        <w:pStyle w:val="ListParagraph"/>
        <w:numPr>
          <w:ilvl w:val="0"/>
          <w:numId w:val="2"/>
        </w:numPr>
        <w:spacing w:after="60" w:line="264"/>
      </w:pPr>
      <w:r>
        <w:rPr>
          <w:rFonts w:ascii="Calibri" w:cs="Calibri" w:eastAsia="Calibri" w:hAnsi="Calibri"/>
          <w:color w:val="1F2A37"/>
          <w:sz w:val="22"/>
          <w:szCs w:val="22"/>
        </w:rPr>
        <w:t xml:space="preserve">Fairer treatment of buyers, because a status code alone never decides fault and silence is not refusal.</w:t>
      </w:r>
    </w:p>
    <w:p>
      <w:pPr>
        <w:pStyle w:val="ListParagraph"/>
        <w:numPr>
          <w:ilvl w:val="0"/>
          <w:numId w:val="2"/>
        </w:numPr>
        <w:spacing w:after="60" w:line="264"/>
      </w:pPr>
      <w:r>
        <w:rPr>
          <w:rFonts w:ascii="Calibri" w:cs="Calibri" w:eastAsia="Calibri" w:hAnsi="Calibri"/>
          <w:color w:val="1F2A37"/>
          <w:sz w:val="22"/>
          <w:szCs w:val="22"/>
        </w:rPr>
        <w:t xml:space="preserve">Safer automation, because the policy gate blocks unsupported actions and the system never executes dispatch, messaging, address or COD changes.</w:t>
      </w:r>
    </w:p>
    <w:p>
      <w:pPr>
        <w:pStyle w:val="ListParagraph"/>
        <w:numPr>
          <w:ilvl w:val="0"/>
          <w:numId w:val="2"/>
        </w:numPr>
        <w:spacing w:after="60" w:line="264"/>
      </w:pPr>
      <w:r>
        <w:rPr>
          <w:rFonts w:ascii="Calibri" w:cs="Calibri" w:eastAsia="Calibri" w:hAnsi="Calibri"/>
          <w:color w:val="1F2A37"/>
          <w:sz w:val="22"/>
          <w:szCs w:val="22"/>
        </w:rPr>
        <w:t xml:space="preserve">A foundation for learning, because every decision is recorded as an auditable two-step assessment.</w:t>
      </w:r>
    </w:p>
    <w:p>
      <w:pPr>
        <w:spacing w:after="120" w:line="276"/>
      </w:pPr>
      <w:r>
        <w:rPr>
          <w:rFonts w:ascii="Calibri" w:cs="Calibri" w:eastAsia="Calibri" w:hAnsi="Calibri"/>
          <w:i/>
          <w:iCs/>
          <w:color w:val="5B6270"/>
          <w:sz w:val="22"/>
          <w:szCs w:val="22"/>
        </w:rPr>
        <w:t xml:space="preserve">These impacts are </w:t>
      </w:r>
      <w:r>
        <w:rPr>
          <w:rFonts w:ascii="Calibri" w:cs="Calibri" w:eastAsia="Calibri" w:hAnsi="Calibri"/>
          <w:b/>
          <w:bCs/>
          <w:i/>
          <w:iCs/>
          <w:color w:val="5B6270"/>
          <w:sz w:val="22"/>
          <w:szCs w:val="22"/>
        </w:rPr>
        <w:t xml:space="preserve">hypotheses to validate</w:t>
      </w:r>
      <w:r>
        <w:rPr>
          <w:rFonts w:ascii="Calibri" w:cs="Calibri" w:eastAsia="Calibri" w:hAnsi="Calibri"/>
          <w:i/>
          <w:iCs/>
          <w:color w:val="5B6270"/>
          <w:sz w:val="22"/>
          <w:szCs w:val="22"/>
        </w:rPr>
        <w:t xml:space="preserve"> with real Operations data. They are not measured results.</w:t>
      </w:r>
    </w:p>
    <w:p>
      <w:pPr>
        <w:pStyle w:val="Heading1"/>
        <w:keepNext/>
        <w:spacing w:after="140" w:before="360"/>
      </w:pPr>
      <w:r>
        <w:rPr>
          <w:rFonts w:ascii="Calibri" w:cs="Calibri" w:eastAsia="Calibri" w:hAnsi="Calibri"/>
          <w:b/>
          <w:bCs/>
          <w:color w:val="0E5E6F"/>
          <w:sz w:val="32"/>
          <w:szCs w:val="32"/>
        </w:rPr>
        <w:t xml:space="preserve">4. Success Metrics</w:t>
      </w:r>
    </w:p>
    <w:p>
      <w:pPr>
        <w:spacing w:after="120" w:line="276"/>
      </w:pPr>
      <w:r>
        <w:rPr>
          <w:rFonts w:ascii="Calibri" w:cs="Calibri" w:eastAsia="Calibri" w:hAnsi="Calibri"/>
          <w:color w:val="1F2A37"/>
          <w:sz w:val="22"/>
          <w:szCs w:val="22"/>
        </w:rPr>
        <w:t xml:space="preserve">The hackathon phase can only be measured on synthetic data. Metrics that need real operations data are listed as future and have no baseline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2900"/>
        <w:gridCol w:w="2538"/>
      </w:tblGrid>
      <w:tr>
        <w:trPr>
          <w:cantSplit/>
          <w:tblHeader/>
        </w:trPr>
        <w:tc>
          <w:tcPr>
            <w:tcW w:type="dxa" w:w="2300"/>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19"/>
                <w:szCs w:val="19"/>
              </w:rPr>
              <w:t xml:space="preserve">Metric</w:t>
            </w:r>
          </w:p>
        </w:tc>
        <w:tc>
          <w:tcPr>
            <w:tcW w:type="dxa" w:w="1900"/>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19"/>
                <w:szCs w:val="19"/>
              </w:rPr>
              <w:t xml:space="preserve">Target</w:t>
            </w:r>
          </w:p>
        </w:tc>
        <w:tc>
          <w:tcPr>
            <w:tcW w:type="dxa" w:w="2900"/>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19"/>
                <w:szCs w:val="19"/>
              </w:rPr>
              <w:t xml:space="preserve">Current</w:t>
            </w:r>
          </w:p>
        </w:tc>
        <w:tc>
          <w:tcPr>
            <w:tcW w:type="dxa" w:w="2538"/>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19"/>
                <w:szCs w:val="19"/>
              </w:rPr>
              <w:t xml:space="preserve">Why It Matters</w:t>
            </w:r>
          </w:p>
        </w:tc>
      </w:tr>
      <w:tr>
        <w:trPr>
          <w:cantSplit/>
        </w:trPr>
        <w:tc>
          <w:tcPr>
            <w:tcW w:type="dxa" w:w="23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Synthetic scenario suite</w:t>
            </w:r>
          </w:p>
        </w:tc>
        <w:tc>
          <w:tcPr>
            <w:tcW w:type="dxa" w:w="19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30 cases covering 7 hypotheses and 6 manual no-reply branches</w:t>
            </w:r>
          </w:p>
        </w:tc>
        <w:tc>
          <w:tcPr>
            <w:tcW w:type="dxa" w:w="29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30 cases defined (draft labels); 5 scenarios runnable in the local app</w:t>
            </w:r>
          </w:p>
        </w:tc>
        <w:tc>
          <w:tcPr>
            <w:tcW w:type="dxa" w:w="25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Repeatable proof of behaviour</w:t>
            </w:r>
          </w:p>
        </w:tc>
      </w:tr>
      <w:tr>
        <w:trPr>
          <w:cantSplit/>
        </w:trPr>
        <w:tc>
          <w:tcPr>
            <w:tcW w:type="dxa" w:w="23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Candidate action agreement with golden labels</w:t>
            </w:r>
          </w:p>
        </w:tc>
        <w:tc>
          <w:tcPr>
            <w:tcW w:type="dxa" w:w="19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Target set after the labels are reviewed with Hải</w:t>
            </w:r>
          </w:p>
        </w:tc>
        <w:tc>
          <w:tcPr>
            <w:tcW w:type="dxa" w:w="29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Prompt v2 simulation: 30/30 at the initial stage, 24/24 after reply (draft labels, LLM-simulated)</w:t>
            </w:r>
          </w:p>
        </w:tc>
        <w:tc>
          <w:tcPr>
            <w:tcW w:type="dxa" w:w="2538"/>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The recommendation is the core value</w:t>
            </w:r>
          </w:p>
        </w:tc>
      </w:tr>
      <w:tr>
        <w:trPr>
          <w:cantSplit/>
        </w:trPr>
        <w:tc>
          <w:tcPr>
            <w:tcW w:type="dxa" w:w="23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All six assessment fields agree</w:t>
            </w:r>
          </w:p>
        </w:tc>
        <w:tc>
          <w:tcPr>
            <w:tcW w:type="dxa" w:w="19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Target set after label review</w:t>
            </w:r>
          </w:p>
        </w:tc>
        <w:tc>
          <w:tcPr>
            <w:tcW w:type="dxa" w:w="29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Prompt v2 simulation: 14/30 initial, 21/24 after reply. Confidence and missing_info are the weakest fields</w:t>
            </w:r>
          </w:p>
        </w:tc>
        <w:tc>
          <w:tcPr>
            <w:tcW w:type="dxa" w:w="25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Evidence quality and trust</w:t>
            </w:r>
          </w:p>
        </w:tc>
      </w:tr>
      <w:tr>
        <w:trPr>
          <w:cantSplit/>
        </w:trPr>
        <w:tc>
          <w:tcPr>
            <w:tcW w:type="dxa" w:w="23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Schema-valid assessments</w:t>
            </w:r>
          </w:p>
        </w:tc>
        <w:tc>
          <w:tcPr>
            <w:tcW w:type="dxa" w:w="19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100%</w:t>
            </w:r>
          </w:p>
        </w:tc>
        <w:tc>
          <w:tcPr>
            <w:tcW w:type="dxa" w:w="29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Not yet measured with a live model</w:t>
            </w:r>
          </w:p>
        </w:tc>
        <w:tc>
          <w:tcPr>
            <w:tcW w:type="dxa" w:w="2538"/>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Reliability of the contract</w:t>
            </w:r>
          </w:p>
        </w:tc>
      </w:tr>
      <w:tr>
        <w:trPr>
          <w:cantSplit/>
        </w:trPr>
        <w:tc>
          <w:tcPr>
            <w:tcW w:type="dxa" w:w="23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Unsupported operational actions executed</w:t>
            </w:r>
          </w:p>
        </w:tc>
        <w:tc>
          <w:tcPr>
            <w:tcW w:type="dxa" w:w="19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0</w:t>
            </w:r>
          </w:p>
        </w:tc>
        <w:tc>
          <w:tcPr>
            <w:tcW w:type="dxa" w:w="29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0 by design (policy gate, no live integrations)</w:t>
            </w:r>
          </w:p>
        </w:tc>
        <w:tc>
          <w:tcPr>
            <w:tcW w:type="dxa" w:w="25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Safety</w:t>
            </w:r>
          </w:p>
        </w:tc>
      </w:tr>
      <w:tr>
        <w:trPr>
          <w:cantSplit/>
        </w:trPr>
        <w:tc>
          <w:tcPr>
            <w:tcW w:type="dxa" w:w="23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Claims beyond verified capability</w:t>
            </w:r>
          </w:p>
        </w:tc>
        <w:tc>
          <w:tcPr>
            <w:tcW w:type="dxa" w:w="19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0</w:t>
            </w:r>
          </w:p>
        </w:tc>
        <w:tc>
          <w:tcPr>
            <w:tcW w:type="dxa" w:w="29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Claim ledger and truth labels (real-local, simulated, future) kept in the demo</w:t>
            </w:r>
          </w:p>
        </w:tc>
        <w:tc>
          <w:tcPr>
            <w:tcW w:type="dxa" w:w="2538"/>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Credibility with judges and Ops</w:t>
            </w:r>
          </w:p>
        </w:tc>
      </w:tr>
      <w:tr>
        <w:trPr>
          <w:cantSplit/>
        </w:trPr>
        <w:tc>
          <w:tcPr>
            <w:tcW w:type="dxa" w:w="23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First-attempt rescue rate, wasted re-attempts avoided, Ops triage time</w:t>
            </w:r>
          </w:p>
        </w:tc>
        <w:tc>
          <w:tcPr>
            <w:tcW w:type="dxa" w:w="19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Baseline and targets to be agreed with Operations</w:t>
            </w:r>
          </w:p>
        </w:tc>
        <w:tc>
          <w:tcPr>
            <w:tcW w:type="dxa" w:w="29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Not measurable: no live data access</w:t>
            </w:r>
          </w:p>
        </w:tc>
        <w:tc>
          <w:tcPr>
            <w:tcW w:type="dxa" w:w="25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Real-world value (future, unverified)</w:t>
            </w:r>
          </w:p>
        </w:tc>
      </w:tr>
    </w:tbl>
    <w:p>
      <w:pPr>
        <w:spacing w:after="80"/>
      </w:pPr>
    </w:p>
    <w:p>
      <w:pPr>
        <w:spacing w:after="120" w:line="276"/>
      </w:pPr>
      <w:r>
        <w:rPr>
          <w:rFonts w:ascii="Calibri" w:cs="Calibri" w:eastAsia="Calibri" w:hAnsi="Calibri"/>
          <w:i/>
          <w:iCs/>
          <w:color w:val="5B6270"/>
          <w:sz w:val="20"/>
          <w:szCs w:val="20"/>
        </w:rPr>
        <w:t xml:space="preserve">Simulation figures come from the prompt evaluation report (30 synthetic cases, two independent simulated stages, graded against draft golden labels). They are not evidence of accuracy on real shipments.</w:t>
      </w:r>
    </w:p>
    <w:p>
      <w:pPr>
        <w:pStyle w:val="Heading1"/>
        <w:keepNext/>
        <w:spacing w:after="140" w:before="360"/>
      </w:pPr>
      <w:r>
        <w:rPr>
          <w:rFonts w:ascii="Calibri" w:cs="Calibri" w:eastAsia="Calibri" w:hAnsi="Calibri"/>
          <w:b/>
          <w:bCs/>
          <w:color w:val="0E5E6F"/>
          <w:sz w:val="32"/>
          <w:szCs w:val="32"/>
        </w:rPr>
        <w:t xml:space="preserve">5. Strategy</w:t>
      </w:r>
    </w:p>
    <w:p>
      <w:pPr>
        <w:spacing w:after="120" w:line="276"/>
      </w:pPr>
      <w:r>
        <w:rPr>
          <w:rFonts w:ascii="Calibri" w:cs="Calibri" w:eastAsia="Calibri" w:hAnsi="Calibri"/>
          <w:color w:val="1F2A37"/>
          <w:sz w:val="22"/>
          <w:szCs w:val="22"/>
        </w:rPr>
        <w:t xml:space="preserve">Phase durations beyond the hackathon depend on partner access and are deliberately not fixed here.</w:t>
      </w:r>
    </w:p>
    <w:p>
      <w:pPr>
        <w:pStyle w:val="Heading3"/>
        <w:keepNext/>
        <w:spacing w:after="80" w:before="160"/>
      </w:pPr>
      <w:r>
        <w:rPr>
          <w:rFonts w:ascii="Calibri" w:cs="Calibri" w:eastAsia="Calibri" w:hAnsi="Calibri"/>
          <w:b/>
          <w:bCs/>
          <w:color w:val="5B6270"/>
          <w:sz w:val="23"/>
          <w:szCs w:val="23"/>
        </w:rPr>
        <w:t xml:space="preserve">Phase 1: Hackathon MVP (build day: 31 October 2026)</w:t>
      </w:r>
    </w:p>
    <w:p>
      <w:pPr>
        <w:pStyle w:val="ListParagraph"/>
        <w:numPr>
          <w:ilvl w:val="0"/>
          <w:numId w:val="2"/>
        </w:numPr>
        <w:spacing w:after="60" w:line="264"/>
      </w:pPr>
      <w:r>
        <w:rPr>
          <w:rFonts w:ascii="Calibri" w:cs="Calibri" w:eastAsia="Calibri" w:hAnsi="Calibri"/>
          <w:b/>
          <w:bCs/>
          <w:color w:val="1F2A37"/>
          <w:sz w:val="22"/>
          <w:szCs w:val="22"/>
        </w:rPr>
        <w:t xml:space="preserve">Done:</w:t>
      </w:r>
      <w:r>
        <w:rPr>
          <w:rFonts w:ascii="Calibri" w:cs="Calibri" w:eastAsia="Calibri" w:hAnsi="Calibri"/>
          <w:color w:val="1F2A37"/>
          <w:sz w:val="22"/>
          <w:szCs w:val="22"/>
        </w:rPr>
        <w:t xml:space="preserve"> concept selection (25 September 2026), data model v2.2 (9 tables), business rules, 30 synthetic test cases, local Vite + React + TypeScript demo with deterministic assessor and policy gate, assessment prompt v2 and its evaluation harness.</w:t>
      </w:r>
    </w:p>
    <w:p>
      <w:pPr>
        <w:pStyle w:val="ListParagraph"/>
        <w:numPr>
          <w:ilvl w:val="0"/>
          <w:numId w:val="2"/>
        </w:numPr>
        <w:spacing w:after="60" w:line="264"/>
      </w:pPr>
      <w:r>
        <w:rPr>
          <w:rFonts w:ascii="Calibri" w:cs="Calibri" w:eastAsia="Calibri" w:hAnsi="Calibri"/>
          <w:b/>
          <w:bCs/>
          <w:color w:val="1F2A37"/>
          <w:sz w:val="22"/>
          <w:szCs w:val="22"/>
        </w:rPr>
        <w:t xml:space="preserve">Next:</w:t>
      </w:r>
      <w:r>
        <w:rPr>
          <w:rFonts w:ascii="Calibri" w:cs="Calibri" w:eastAsia="Calibri" w:hAnsi="Calibri"/>
          <w:color w:val="1F2A37"/>
          <w:sz w:val="22"/>
          <w:szCs w:val="22"/>
        </w:rPr>
        <w:t xml:space="preserve"> review of the draft golden labels with Hải, live Agent integration behind the schema validator, narrated team rehearsal.</w:t>
      </w:r>
    </w:p>
    <w:p>
      <w:pPr>
        <w:pStyle w:val="ListParagraph"/>
        <w:numPr>
          <w:ilvl w:val="0"/>
          <w:numId w:val="2"/>
        </w:numPr>
        <w:spacing w:after="60" w:line="264"/>
      </w:pPr>
      <w:r>
        <w:rPr>
          <w:rFonts w:ascii="Calibri" w:cs="Calibri" w:eastAsia="Calibri" w:hAnsi="Calibri"/>
          <w:b/>
          <w:bCs/>
          <w:color w:val="1F2A37"/>
          <w:sz w:val="22"/>
          <w:szCs w:val="22"/>
        </w:rPr>
        <w:t xml:space="preserve">Hackathon deliverables:</w:t>
      </w:r>
      <w:r>
        <w:rPr>
          <w:rFonts w:ascii="Calibri" w:cs="Calibri" w:eastAsia="Calibri" w:hAnsi="Calibri"/>
          <w:color w:val="1F2A37"/>
          <w:sz w:val="22"/>
          <w:szCs w:val="22"/>
        </w:rPr>
        <w:t xml:space="preserve"> public repository, project write-up (PDF), demo link, declaration of pre-existing work.</w:t>
      </w:r>
    </w:p>
    <w:p>
      <w:pPr>
        <w:pStyle w:val="Heading3"/>
        <w:keepNext/>
        <w:spacing w:after="80" w:before="160"/>
      </w:pPr>
      <w:r>
        <w:rPr>
          <w:rFonts w:ascii="Calibri" w:cs="Calibri" w:eastAsia="Calibri" w:hAnsi="Calibri"/>
          <w:b/>
          <w:bCs/>
          <w:color w:val="5B6270"/>
          <w:sz w:val="23"/>
          <w:szCs w:val="23"/>
        </w:rPr>
        <w:t xml:space="preserve">Phase 2: Validation with authorised access</w:t>
      </w:r>
    </w:p>
    <w:p>
      <w:pPr>
        <w:pStyle w:val="ListParagraph"/>
        <w:numPr>
          <w:ilvl w:val="0"/>
          <w:numId w:val="2"/>
        </w:numPr>
        <w:spacing w:after="60" w:line="264"/>
      </w:pPr>
      <w:r>
        <w:rPr>
          <w:rFonts w:ascii="Calibri" w:cs="Calibri" w:eastAsia="Calibri" w:hAnsi="Calibri"/>
          <w:color w:val="1F2A37"/>
          <w:sz w:val="22"/>
          <w:szCs w:val="22"/>
        </w:rPr>
        <w:t xml:space="preserve">Obtain documented permission and data access. Until then every figure stays synthetic.</w:t>
      </w:r>
    </w:p>
    <w:p>
      <w:pPr>
        <w:pStyle w:val="ListParagraph"/>
        <w:numPr>
          <w:ilvl w:val="0"/>
          <w:numId w:val="2"/>
        </w:numPr>
        <w:spacing w:after="60" w:line="264"/>
      </w:pPr>
      <w:r>
        <w:rPr>
          <w:rFonts w:ascii="Calibri" w:cs="Calibri" w:eastAsia="Calibri" w:hAnsi="Calibri"/>
          <w:color w:val="1F2A37"/>
          <w:sz w:val="22"/>
          <w:szCs w:val="22"/>
        </w:rPr>
        <w:t xml:space="preserve">Run in shadow mode on historical failed deliveries; replace draft labels with Operations-reviewed labels.</w:t>
      </w:r>
    </w:p>
    <w:p>
      <w:pPr>
        <w:pStyle w:val="ListParagraph"/>
        <w:numPr>
          <w:ilvl w:val="0"/>
          <w:numId w:val="2"/>
        </w:numPr>
        <w:spacing w:after="60" w:line="264"/>
      </w:pPr>
      <w:r>
        <w:rPr>
          <w:rFonts w:ascii="Calibri" w:cs="Calibri" w:eastAsia="Calibri" w:hAnsi="Calibri"/>
          <w:color w:val="1F2A37"/>
          <w:sz w:val="22"/>
          <w:szCs w:val="22"/>
        </w:rPr>
        <w:t xml:space="preserve">Agree baselines and targets with Operations for rescue rate, wasted re-attempts and triage time.</w:t>
      </w:r>
    </w:p>
    <w:p>
      <w:pPr>
        <w:pStyle w:val="Heading3"/>
        <w:keepNext/>
        <w:spacing w:after="80" w:before="160"/>
      </w:pPr>
      <w:r>
        <w:rPr>
          <w:rFonts w:ascii="Calibri" w:cs="Calibri" w:eastAsia="Calibri" w:hAnsi="Calibri"/>
          <w:b/>
          <w:bCs/>
          <w:color w:val="5B6270"/>
          <w:sz w:val="23"/>
          <w:szCs w:val="23"/>
        </w:rPr>
        <w:t xml:space="preserve">Phase 3: Human-in-the-loop pilot</w:t>
      </w:r>
    </w:p>
    <w:p>
      <w:pPr>
        <w:pStyle w:val="ListParagraph"/>
        <w:numPr>
          <w:ilvl w:val="0"/>
          <w:numId w:val="2"/>
        </w:numPr>
        <w:spacing w:after="60" w:line="264"/>
      </w:pPr>
      <w:r>
        <w:rPr>
          <w:rFonts w:ascii="Calibri" w:cs="Calibri" w:eastAsia="Calibri" w:hAnsi="Calibri"/>
          <w:color w:val="1F2A37"/>
          <w:sz w:val="22"/>
          <w:szCs w:val="22"/>
        </w:rPr>
        <w:t xml:space="preserve">Recommendations shown in an Ops console; humans execute every action.</w:t>
      </w:r>
    </w:p>
    <w:p>
      <w:pPr>
        <w:pStyle w:val="ListParagraph"/>
        <w:numPr>
          <w:ilvl w:val="0"/>
          <w:numId w:val="2"/>
        </w:numPr>
        <w:spacing w:after="60" w:line="264"/>
      </w:pPr>
      <w:r>
        <w:rPr>
          <w:rFonts w:ascii="Calibri" w:cs="Calibri" w:eastAsia="Calibri" w:hAnsi="Calibri"/>
          <w:color w:val="1F2A37"/>
          <w:sz w:val="22"/>
          <w:szCs w:val="22"/>
        </w:rPr>
        <w:t xml:space="preserve">A real buyer contact channel, used only through a backend contact gate and policy.</w:t>
      </w:r>
    </w:p>
    <w:p>
      <w:pPr>
        <w:pStyle w:val="Heading3"/>
        <w:keepNext/>
        <w:spacing w:after="80" w:before="160"/>
      </w:pPr>
      <w:r>
        <w:rPr>
          <w:rFonts w:ascii="Calibri" w:cs="Calibri" w:eastAsia="Calibri" w:hAnsi="Calibri"/>
          <w:b/>
          <w:bCs/>
          <w:color w:val="5B6270"/>
          <w:sz w:val="23"/>
          <w:szCs w:val="23"/>
        </w:rPr>
        <w:t xml:space="preserve">Phase 4: Scale and learn</w:t>
      </w:r>
    </w:p>
    <w:p>
      <w:pPr>
        <w:pStyle w:val="ListParagraph"/>
        <w:numPr>
          <w:ilvl w:val="0"/>
          <w:numId w:val="2"/>
        </w:numPr>
        <w:spacing w:after="60" w:line="264"/>
      </w:pPr>
      <w:r>
        <w:rPr>
          <w:rFonts w:ascii="Calibri" w:cs="Calibri" w:eastAsia="Calibri" w:hAnsi="Calibri"/>
          <w:color w:val="1F2A37"/>
          <w:sz w:val="22"/>
          <w:szCs w:val="22"/>
        </w:rPr>
        <w:t xml:space="preserve">Carrier- and policy-version-specific profiles, extended vocabularies, outcome feedback into evaluation.</w:t>
      </w:r>
    </w:p>
    <w:p>
      <w:pPr>
        <w:pStyle w:val="ListParagraph"/>
        <w:numPr>
          <w:ilvl w:val="0"/>
          <w:numId w:val="2"/>
        </w:numPr>
        <w:spacing w:after="60" w:line="264"/>
      </w:pPr>
      <w:r>
        <w:rPr>
          <w:rFonts w:ascii="Calibri" w:cs="Calibri" w:eastAsia="Calibri" w:hAnsi="Calibri"/>
          <w:color w:val="1F2A37"/>
          <w:sz w:val="22"/>
          <w:szCs w:val="22"/>
        </w:rPr>
        <w:t xml:space="preserve">Move from recommendation to partially automated actions only where policy and Operations explicitly allow it.</w:t>
      </w:r>
    </w:p>
    <w:p>
      <w:pPr>
        <w:pStyle w:val="Heading1"/>
        <w:keepNext/>
        <w:spacing w:after="140" w:before="360"/>
      </w:pPr>
      <w:r>
        <w:rPr>
          <w:rFonts w:ascii="Calibri" w:cs="Calibri" w:eastAsia="Calibri" w:hAnsi="Calibri"/>
          <w:b/>
          <w:bCs/>
          <w:color w:val="0E5E6F"/>
          <w:sz w:val="32"/>
          <w:szCs w:val="32"/>
        </w:rPr>
        <w:t xml:space="preserve">6. Key Features</w:t>
      </w:r>
    </w:p>
    <w:p>
      <w:pPr>
        <w:pStyle w:val="Heading3"/>
        <w:keepNext/>
        <w:spacing w:after="80" w:before="160"/>
      </w:pPr>
      <w:r>
        <w:rPr>
          <w:rFonts w:ascii="Calibri" w:cs="Calibri" w:eastAsia="Calibri" w:hAnsi="Calibri"/>
          <w:b/>
          <w:bCs/>
          <w:color w:val="5B6270"/>
          <w:sz w:val="23"/>
          <w:szCs w:val="23"/>
        </w:rPr>
        <w:t xml:space="preserve">Must Have (MVP)</w:t>
      </w:r>
    </w:p>
    <w:p>
      <w:pPr>
        <w:pStyle w:val="ListParagraph"/>
        <w:numPr>
          <w:ilvl w:val="0"/>
          <w:numId w:val="2"/>
        </w:numPr>
        <w:spacing w:after="60" w:line="264"/>
      </w:pPr>
      <w:r>
        <w:rPr>
          <w:rFonts w:ascii="Calibri" w:cs="Calibri" w:eastAsia="Calibri" w:hAnsi="Calibri"/>
          <w:color w:val="1F2A37"/>
          <w:sz w:val="22"/>
          <w:szCs w:val="22"/>
        </w:rPr>
        <w:t xml:space="preserve">Case intake from the 9-table data model (case, order, failed event, T0 buyer context, interactions).</w:t>
      </w:r>
    </w:p>
    <w:p>
      <w:pPr>
        <w:pStyle w:val="ListParagraph"/>
        <w:numPr>
          <w:ilvl w:val="0"/>
          <w:numId w:val="2"/>
        </w:numPr>
        <w:spacing w:after="60" w:line="264"/>
      </w:pPr>
      <w:r>
        <w:rPr>
          <w:rFonts w:ascii="Calibri" w:cs="Calibri" w:eastAsia="Calibri" w:hAnsi="Calibri"/>
          <w:color w:val="1F2A37"/>
          <w:sz w:val="22"/>
          <w:szCs w:val="22"/>
        </w:rPr>
        <w:t xml:space="preserve">Deterministic backend pre-check before any AI call (lifecycle, deadline, malformed input).</w:t>
      </w:r>
    </w:p>
    <w:p>
      <w:pPr>
        <w:pStyle w:val="ListParagraph"/>
        <w:numPr>
          <w:ilvl w:val="0"/>
          <w:numId w:val="2"/>
        </w:numPr>
        <w:spacing w:after="60" w:line="264"/>
      </w:pPr>
      <w:r>
        <w:rPr>
          <w:rFonts w:ascii="Calibri" w:cs="Calibri" w:eastAsia="Calibri" w:hAnsi="Calibri"/>
          <w:color w:val="1F2A37"/>
          <w:sz w:val="22"/>
          <w:szCs w:val="22"/>
        </w:rPr>
        <w:t xml:space="preserve">Agent assessment 1: evidence with sources, one of 7 hypotheses, confidence, missing information, question key, candidate action.</w:t>
      </w:r>
    </w:p>
    <w:p>
      <w:pPr>
        <w:pStyle w:val="ListParagraph"/>
        <w:numPr>
          <w:ilvl w:val="0"/>
          <w:numId w:val="2"/>
        </w:numPr>
        <w:spacing w:after="60" w:line="264"/>
      </w:pPr>
      <w:r>
        <w:rPr>
          <w:rFonts w:ascii="Calibri" w:cs="Calibri" w:eastAsia="Calibri" w:hAnsi="Calibri"/>
          <w:color w:val="1F2A37"/>
          <w:sz w:val="22"/>
          <w:szCs w:val="22"/>
        </w:rPr>
        <w:t xml:space="preserve">One buyer question, then either buyer reply (assessment 2) or the manual "no reply" control that keeps assessment 1.</w:t>
      </w:r>
    </w:p>
    <w:p>
      <w:pPr>
        <w:pStyle w:val="ListParagraph"/>
        <w:numPr>
          <w:ilvl w:val="0"/>
          <w:numId w:val="2"/>
        </w:numPr>
        <w:spacing w:after="60" w:line="264"/>
      </w:pPr>
      <w:r>
        <w:rPr>
          <w:rFonts w:ascii="Calibri" w:cs="Calibri" w:eastAsia="Calibri" w:hAnsi="Calibri"/>
          <w:color w:val="1F2A37"/>
          <w:sz w:val="22"/>
          <w:szCs w:val="22"/>
        </w:rPr>
        <w:t xml:space="preserve">Deterministic policy gate: eligibility, gate decision, final action, reason. The LLM never grants itself permission.</w:t>
      </w:r>
    </w:p>
    <w:p>
      <w:pPr>
        <w:pStyle w:val="ListParagraph"/>
        <w:numPr>
          <w:ilvl w:val="0"/>
          <w:numId w:val="2"/>
        </w:numPr>
        <w:spacing w:after="60" w:line="264"/>
      </w:pPr>
      <w:r>
        <w:rPr>
          <w:rFonts w:ascii="Calibri" w:cs="Calibri" w:eastAsia="Calibri" w:hAnsi="Calibri"/>
          <w:color w:val="1F2A37"/>
          <w:sz w:val="22"/>
          <w:szCs w:val="22"/>
        </w:rPr>
        <w:t xml:space="preserve">Audit trail of decision records and visible truth labels (real-local, simulated, future / unverified).</w:t>
      </w:r>
    </w:p>
    <w:p>
      <w:pPr>
        <w:pStyle w:val="ListParagraph"/>
        <w:numPr>
          <w:ilvl w:val="0"/>
          <w:numId w:val="2"/>
        </w:numPr>
        <w:spacing w:after="60" w:line="264"/>
      </w:pPr>
      <w:r>
        <w:rPr>
          <w:rFonts w:ascii="Calibri" w:cs="Calibri" w:eastAsia="Calibri" w:hAnsi="Calibri"/>
          <w:color w:val="1F2A37"/>
          <w:sz w:val="22"/>
          <w:szCs w:val="22"/>
        </w:rPr>
        <w:t xml:space="preserve">Evaluation harness over 30 synthetic cases.</w:t>
      </w:r>
    </w:p>
    <w:p>
      <w:pPr>
        <w:pStyle w:val="Heading3"/>
        <w:keepNext/>
        <w:spacing w:after="80" w:before="160"/>
      </w:pPr>
      <w:r>
        <w:rPr>
          <w:rFonts w:ascii="Calibri" w:cs="Calibri" w:eastAsia="Calibri" w:hAnsi="Calibri"/>
          <w:b/>
          <w:bCs/>
          <w:color w:val="5B6270"/>
          <w:sz w:val="23"/>
          <w:szCs w:val="23"/>
        </w:rPr>
        <w:t xml:space="preserve">Should Have (Phase 2)</w:t>
      </w:r>
    </w:p>
    <w:p>
      <w:pPr>
        <w:pStyle w:val="ListParagraph"/>
        <w:numPr>
          <w:ilvl w:val="0"/>
          <w:numId w:val="2"/>
        </w:numPr>
        <w:spacing w:after="60" w:line="264"/>
      </w:pPr>
      <w:r>
        <w:rPr>
          <w:rFonts w:ascii="Calibri" w:cs="Calibri" w:eastAsia="Calibri" w:hAnsi="Calibri"/>
          <w:color w:val="1F2A37"/>
          <w:sz w:val="22"/>
          <w:szCs w:val="22"/>
        </w:rPr>
        <w:t xml:space="preserve">Live Agent call with strict schema and source-reference validation, server-side only.</w:t>
      </w:r>
    </w:p>
    <w:p>
      <w:pPr>
        <w:pStyle w:val="ListParagraph"/>
        <w:numPr>
          <w:ilvl w:val="0"/>
          <w:numId w:val="2"/>
        </w:numPr>
        <w:spacing w:after="60" w:line="264"/>
      </w:pPr>
      <w:r>
        <w:rPr>
          <w:rFonts w:ascii="Calibri" w:cs="Calibri" w:eastAsia="Calibri" w:hAnsi="Calibri"/>
          <w:color w:val="1F2A37"/>
          <w:sz w:val="22"/>
          <w:szCs w:val="22"/>
        </w:rPr>
        <w:t xml:space="preserve">Contact gate rules and defined behaviour for blocked or denied paths.</w:t>
      </w:r>
    </w:p>
    <w:p>
      <w:pPr>
        <w:pStyle w:val="ListParagraph"/>
        <w:numPr>
          <w:ilvl w:val="0"/>
          <w:numId w:val="2"/>
        </w:numPr>
        <w:spacing w:after="60" w:line="264"/>
      </w:pPr>
      <w:r>
        <w:rPr>
          <w:rFonts w:ascii="Calibri" w:cs="Calibri" w:eastAsia="Calibri" w:hAnsi="Calibri"/>
          <w:color w:val="1F2A37"/>
          <w:sz w:val="22"/>
          <w:szCs w:val="22"/>
        </w:rPr>
        <w:t xml:space="preserve">Ops-reviewed golden labels and a regression suite built from them.</w:t>
      </w:r>
    </w:p>
    <w:p>
      <w:pPr>
        <w:pStyle w:val="ListParagraph"/>
        <w:numPr>
          <w:ilvl w:val="0"/>
          <w:numId w:val="2"/>
        </w:numPr>
        <w:spacing w:after="60" w:line="264"/>
      </w:pPr>
      <w:r>
        <w:rPr>
          <w:rFonts w:ascii="Calibri" w:cs="Calibri" w:eastAsia="Calibri" w:hAnsi="Calibri"/>
          <w:color w:val="1F2A37"/>
          <w:sz w:val="22"/>
          <w:szCs w:val="22"/>
        </w:rPr>
        <w:t xml:space="preserve">Decision dashboard for Ops (queue, evidence, missing information).</w:t>
      </w:r>
    </w:p>
    <w:p>
      <w:pPr>
        <w:pStyle w:val="Heading3"/>
        <w:keepNext/>
        <w:spacing w:after="80" w:before="160"/>
      </w:pPr>
      <w:r>
        <w:rPr>
          <w:rFonts w:ascii="Calibri" w:cs="Calibri" w:eastAsia="Calibri" w:hAnsi="Calibri"/>
          <w:b/>
          <w:bCs/>
          <w:color w:val="5B6270"/>
          <w:sz w:val="23"/>
          <w:szCs w:val="23"/>
        </w:rPr>
        <w:t xml:space="preserve">Could Have (Future)</w:t>
      </w:r>
    </w:p>
    <w:p>
      <w:pPr>
        <w:pStyle w:val="ListParagraph"/>
        <w:numPr>
          <w:ilvl w:val="0"/>
          <w:numId w:val="2"/>
        </w:numPr>
        <w:spacing w:after="60" w:line="264"/>
      </w:pPr>
      <w:r>
        <w:rPr>
          <w:rFonts w:ascii="Calibri" w:cs="Calibri" w:eastAsia="Calibri" w:hAnsi="Calibri"/>
          <w:color w:val="1F2A37"/>
          <w:sz w:val="22"/>
          <w:szCs w:val="22"/>
        </w:rPr>
        <w:t xml:space="preserve">Production timeout and late-reply policy.</w:t>
      </w:r>
    </w:p>
    <w:p>
      <w:pPr>
        <w:pStyle w:val="ListParagraph"/>
        <w:numPr>
          <w:ilvl w:val="0"/>
          <w:numId w:val="2"/>
        </w:numPr>
        <w:spacing w:after="60" w:line="264"/>
      </w:pPr>
      <w:r>
        <w:rPr>
          <w:rFonts w:ascii="Calibri" w:cs="Calibri" w:eastAsia="Calibri" w:hAnsi="Calibri"/>
          <w:color w:val="1F2A37"/>
          <w:sz w:val="22"/>
          <w:szCs w:val="22"/>
        </w:rPr>
        <w:t xml:space="preserve">Carrier- and region-specific policy profiles.</w:t>
      </w:r>
    </w:p>
    <w:p>
      <w:pPr>
        <w:pStyle w:val="ListParagraph"/>
        <w:numPr>
          <w:ilvl w:val="0"/>
          <w:numId w:val="2"/>
        </w:numPr>
        <w:spacing w:after="60" w:line="264"/>
      </w:pPr>
      <w:r>
        <w:rPr>
          <w:rFonts w:ascii="Calibri" w:cs="Calibri" w:eastAsia="Calibri" w:hAnsi="Calibri"/>
          <w:color w:val="1F2A37"/>
          <w:sz w:val="22"/>
          <w:szCs w:val="22"/>
        </w:rPr>
        <w:t xml:space="preserve">Additional hypotheses where real data shows gaps (for example separating wrong recipient from changed mind).</w:t>
      </w:r>
    </w:p>
    <w:p>
      <w:pPr>
        <w:pStyle w:val="ListParagraph"/>
        <w:numPr>
          <w:ilvl w:val="0"/>
          <w:numId w:val="2"/>
        </w:numPr>
        <w:spacing w:after="60" w:line="264"/>
      </w:pPr>
      <w:r>
        <w:rPr>
          <w:rFonts w:ascii="Calibri" w:cs="Calibri" w:eastAsia="Calibri" w:hAnsi="Calibri"/>
          <w:color w:val="1F2A37"/>
          <w:sz w:val="22"/>
          <w:szCs w:val="22"/>
        </w:rPr>
        <w:t xml:space="preserve">Outcome tracking and learning from resolved cases.</w:t>
      </w:r>
    </w:p>
    <w:p>
      <w:pPr>
        <w:pStyle w:val="Heading3"/>
        <w:keepNext/>
        <w:spacing w:after="80" w:before="160"/>
      </w:pPr>
      <w:r>
        <w:rPr>
          <w:rFonts w:ascii="Calibri" w:cs="Calibri" w:eastAsia="Calibri" w:hAnsi="Calibri"/>
          <w:b/>
          <w:bCs/>
          <w:color w:val="5B6270"/>
          <w:sz w:val="23"/>
          <w:szCs w:val="23"/>
        </w:rPr>
        <w:t xml:space="preserve">Out of scope (will not claim)</w:t>
      </w:r>
    </w:p>
    <w:p>
      <w:pPr>
        <w:pStyle w:val="ListParagraph"/>
        <w:numPr>
          <w:ilvl w:val="0"/>
          <w:numId w:val="2"/>
        </w:numPr>
        <w:spacing w:after="60" w:line="264"/>
      </w:pPr>
      <w:r>
        <w:rPr>
          <w:rFonts w:ascii="Calibri" w:cs="Calibri" w:eastAsia="Calibri" w:hAnsi="Calibri"/>
          <w:color w:val="1F2A37"/>
          <w:sz w:val="22"/>
          <w:szCs w:val="22"/>
        </w:rPr>
        <w:t xml:space="preserve">Any live integration with Shopee, SPX or a courier; any real buyer message, dispatch, exact delivery slot, address or COD change, return or refund.</w:t>
      </w:r>
    </w:p>
    <w:p>
      <w:pPr>
        <w:pStyle w:val="ListParagraph"/>
        <w:numPr>
          <w:ilvl w:val="0"/>
          <w:numId w:val="2"/>
        </w:numPr>
        <w:spacing w:after="60" w:line="264"/>
      </w:pPr>
      <w:r>
        <w:rPr>
          <w:rFonts w:ascii="Calibri" w:cs="Calibri" w:eastAsia="Calibri" w:hAnsi="Calibri"/>
          <w:color w:val="1F2A37"/>
          <w:sz w:val="22"/>
          <w:szCs w:val="22"/>
        </w:rPr>
        <w:t xml:space="preserve">Any claim of money saved, GMV recovered, or accuracy on real shipments.</w:t>
      </w:r>
    </w:p>
    <w:p>
      <w:pPr>
        <w:pStyle w:val="Heading1"/>
        <w:keepNext/>
        <w:spacing w:after="140" w:before="360"/>
      </w:pPr>
      <w:r>
        <w:rPr>
          <w:rFonts w:ascii="Calibri" w:cs="Calibri" w:eastAsia="Calibri" w:hAnsi="Calibri"/>
          <w:b/>
          <w:bCs/>
          <w:color w:val="0E5E6F"/>
          <w:sz w:val="32"/>
          <w:szCs w:val="32"/>
        </w:rPr>
        <w:t xml:space="preserve">7. What Success Looks Like</w:t>
      </w:r>
    </w:p>
    <w:p>
      <w:pPr>
        <w:pStyle w:val="Heading3"/>
        <w:keepNext/>
        <w:spacing w:after="80" w:before="160"/>
      </w:pPr>
      <w:r>
        <w:rPr>
          <w:rFonts w:ascii="Calibri" w:cs="Calibri" w:eastAsia="Calibri" w:hAnsi="Calibri"/>
          <w:b/>
          <w:bCs/>
          <w:color w:val="5B6270"/>
          <w:sz w:val="23"/>
          <w:szCs w:val="23"/>
        </w:rPr>
        <w:t xml:space="preserve">Phase 1: Hackathon</w:t>
      </w:r>
    </w:p>
    <w:p>
      <w:pPr>
        <w:pStyle w:val="ListParagraph"/>
        <w:numPr>
          <w:ilvl w:val="0"/>
          <w:numId w:val="2"/>
        </w:numPr>
        <w:spacing w:after="60" w:line="264"/>
      </w:pPr>
      <w:r>
        <w:rPr>
          <w:rFonts w:ascii="Calibri" w:cs="Calibri" w:eastAsia="Calibri" w:hAnsi="Calibri"/>
          <w:color w:val="1F2A37"/>
          <w:sz w:val="22"/>
          <w:szCs w:val="22"/>
        </w:rPr>
        <w:t xml:space="preserve">The demo runs end to end on synthetic cases: failure, assessment, one question, reply or no reply, final recommendation.</w:t>
      </w:r>
    </w:p>
    <w:p>
      <w:pPr>
        <w:pStyle w:val="ListParagraph"/>
        <w:numPr>
          <w:ilvl w:val="0"/>
          <w:numId w:val="2"/>
        </w:numPr>
        <w:spacing w:after="60" w:line="264"/>
      </w:pPr>
      <w:r>
        <w:rPr>
          <w:rFonts w:ascii="Calibri" w:cs="Calibri" w:eastAsia="Calibri" w:hAnsi="Calibri"/>
          <w:color w:val="1F2A37"/>
          <w:sz w:val="22"/>
          <w:szCs w:val="22"/>
        </w:rPr>
        <w:t xml:space="preserve">The same broad failure signal visibly leads to different recommendations when the evidence differs.</w:t>
      </w:r>
    </w:p>
    <w:p>
      <w:pPr>
        <w:pStyle w:val="ListParagraph"/>
        <w:numPr>
          <w:ilvl w:val="0"/>
          <w:numId w:val="2"/>
        </w:numPr>
        <w:spacing w:after="60" w:line="264"/>
      </w:pPr>
      <w:r>
        <w:rPr>
          <w:rFonts w:ascii="Calibri" w:cs="Calibri" w:eastAsia="Calibri" w:hAnsi="Calibri"/>
          <w:color w:val="1F2A37"/>
          <w:sz w:val="22"/>
          <w:szCs w:val="22"/>
        </w:rPr>
        <w:t xml:space="preserve">Every recommendation can be traced to a source record and the buyer's own words.</w:t>
      </w:r>
    </w:p>
    <w:p>
      <w:pPr>
        <w:pStyle w:val="ListParagraph"/>
        <w:numPr>
          <w:ilvl w:val="0"/>
          <w:numId w:val="2"/>
        </w:numPr>
        <w:spacing w:after="60" w:line="264"/>
      </w:pPr>
      <w:r>
        <w:rPr>
          <w:rFonts w:ascii="Calibri" w:cs="Calibri" w:eastAsia="Calibri" w:hAnsi="Calibri"/>
          <w:color w:val="1F2A37"/>
          <w:sz w:val="22"/>
          <w:szCs w:val="22"/>
        </w:rPr>
        <w:t xml:space="preserve">Typecheck, unit tests and the browser journey pass; the team can explain what is real, simulated and future.</w:t>
      </w:r>
    </w:p>
    <w:p>
      <w:pPr>
        <w:pStyle w:val="ListParagraph"/>
        <w:numPr>
          <w:ilvl w:val="0"/>
          <w:numId w:val="2"/>
        </w:numPr>
        <w:spacing w:after="60" w:line="264"/>
      </w:pPr>
      <w:r>
        <w:rPr>
          <w:rFonts w:ascii="Calibri" w:cs="Calibri" w:eastAsia="Calibri" w:hAnsi="Calibri"/>
          <w:color w:val="1F2A37"/>
          <w:sz w:val="22"/>
          <w:szCs w:val="22"/>
        </w:rPr>
        <w:t xml:space="preserve">No claim goes beyond what is verified.</w:t>
      </w:r>
    </w:p>
    <w:p>
      <w:pPr>
        <w:pStyle w:val="Heading3"/>
        <w:keepNext/>
        <w:spacing w:after="80" w:before="160"/>
      </w:pPr>
      <w:r>
        <w:rPr>
          <w:rFonts w:ascii="Calibri" w:cs="Calibri" w:eastAsia="Calibri" w:hAnsi="Calibri"/>
          <w:b/>
          <w:bCs/>
          <w:color w:val="5B6270"/>
          <w:sz w:val="23"/>
          <w:szCs w:val="23"/>
        </w:rPr>
        <w:t xml:space="preserve">Later phases</w:t>
      </w:r>
    </w:p>
    <w:p>
      <w:pPr>
        <w:pStyle w:val="ListParagraph"/>
        <w:numPr>
          <w:ilvl w:val="0"/>
          <w:numId w:val="2"/>
        </w:numPr>
        <w:spacing w:after="60" w:line="264"/>
      </w:pPr>
      <w:r>
        <w:rPr>
          <w:rFonts w:ascii="Calibri" w:cs="Calibri" w:eastAsia="Calibri" w:hAnsi="Calibri"/>
          <w:color w:val="1F2A37"/>
          <w:sz w:val="22"/>
          <w:szCs w:val="22"/>
        </w:rPr>
        <w:t xml:space="preserve">Operations reviewers agree that recommendations are explainable and useful on historical cases, measured against reviewed labels.</w:t>
      </w:r>
    </w:p>
    <w:p>
      <w:pPr>
        <w:pStyle w:val="ListParagraph"/>
        <w:numPr>
          <w:ilvl w:val="0"/>
          <w:numId w:val="2"/>
        </w:numPr>
        <w:spacing w:after="60" w:line="264"/>
      </w:pPr>
      <w:r>
        <w:rPr>
          <w:rFonts w:ascii="Calibri" w:cs="Calibri" w:eastAsia="Calibri" w:hAnsi="Calibri"/>
          <w:color w:val="1F2A37"/>
          <w:sz w:val="22"/>
          <w:szCs w:val="22"/>
        </w:rPr>
        <w:t xml:space="preserve">A pilot shows, against an agreed baseline, fewer wasted re-attempts and faster triage. Targets are set with Operations, not assumed here.</w:t>
      </w:r>
    </w:p>
    <w:p>
      <w:pPr>
        <w:pStyle w:val="Heading1"/>
        <w:keepNext/>
        <w:spacing w:after="140" w:before="360"/>
      </w:pPr>
      <w:r>
        <w:rPr>
          <w:rFonts w:ascii="Calibri" w:cs="Calibri" w:eastAsia="Calibri" w:hAnsi="Calibri"/>
          <w:b/>
          <w:bCs/>
          <w:color w:val="0E5E6F"/>
          <w:sz w:val="32"/>
          <w:szCs w:val="32"/>
        </w:rPr>
        <w:t xml:space="preserve">Document Info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20"/>
                <w:szCs w:val="20"/>
              </w:rPr>
              <w:t xml:space="preserve">Author</w:t>
            </w:r>
          </w:p>
        </w:tc>
        <w:tc>
          <w:tcPr>
            <w:tcW w:type="dxa" w:w="72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20"/>
                <w:szCs w:val="20"/>
              </w:rPr>
              <w:t xml:space="preserve">Core Team (Lucas, Phúc, Hải, Kha)</w:t>
            </w:r>
          </w:p>
        </w:tc>
      </w:tr>
      <w:tr>
        <w:trPr>
          <w:cantSplit/>
        </w:trPr>
        <w:tc>
          <w:tcPr>
            <w:tcW w:type="dxa" w:w="2400"/>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20"/>
                <w:szCs w:val="20"/>
              </w:rPr>
              <w:t xml:space="preserve">Last Updated</w:t>
            </w:r>
          </w:p>
        </w:tc>
        <w:tc>
          <w:tcPr>
            <w:tcW w:type="dxa" w:w="72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20"/>
                <w:szCs w:val="20"/>
              </w:rPr>
              <w:t xml:space="preserve">October 29, 2026</w:t>
            </w:r>
          </w:p>
        </w:tc>
      </w:tr>
      <w:tr>
        <w:trPr>
          <w:cantSplit/>
        </w:trPr>
        <w:tc>
          <w:tcPr>
            <w:tcW w:type="dxa" w:w="2400"/>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20"/>
                <w:szCs w:val="20"/>
              </w:rPr>
              <w:t xml:space="preserve">Version</w:t>
            </w:r>
          </w:p>
        </w:tc>
        <w:tc>
          <w:tcPr>
            <w:tcW w:type="dxa" w:w="72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20"/>
                <w:szCs w:val="20"/>
              </w:rPr>
              <w:t xml:space="preserve">0.1</w:t>
            </w:r>
          </w:p>
        </w:tc>
      </w:tr>
      <w:tr>
        <w:trPr>
          <w:cantSplit/>
        </w:trPr>
        <w:tc>
          <w:tcPr>
            <w:tcW w:type="dxa" w:w="2400"/>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20"/>
                <w:szCs w:val="20"/>
              </w:rPr>
              <w:t xml:space="preserve">Status</w:t>
            </w:r>
          </w:p>
        </w:tc>
        <w:tc>
          <w:tcPr>
            <w:tcW w:type="dxa" w:w="72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20"/>
                <w:szCs w:val="20"/>
              </w:rPr>
              <w:t xml:space="preserve">Draft for team review</w:t>
            </w:r>
          </w:p>
        </w:tc>
      </w:tr>
      <w:tr>
        <w:trPr>
          <w:cantSplit/>
        </w:trPr>
        <w:tc>
          <w:tcPr>
            <w:tcW w:type="dxa" w:w="2400"/>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20"/>
                <w:szCs w:val="20"/>
              </w:rPr>
              <w:t xml:space="preserve">Review Date</w:t>
            </w:r>
          </w:p>
        </w:tc>
        <w:tc>
          <w:tcPr>
            <w:tcW w:type="dxa" w:w="72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20"/>
                <w:szCs w:val="20"/>
              </w:rPr>
              <w:t xml:space="preserve">To be set; before the 31 October 2026 hackathon rehearsal</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270"/>
        <w:sz w:val="16"/>
        <w:szCs w:val="16"/>
      </w:rPr>
      <w:t xml:space="preserve">Draft, synthetic data only  |  Page </w:t>
    </w:r>
    <w:r>
      <w:rPr>
        <w:rFonts w:ascii="Calibri" w:cs="Calibri" w:eastAsia="Calibri" w:hAnsi="Calibri"/>
        <w:color w:val="5B6270"/>
        <w:sz w:val="16"/>
        <w:szCs w:val="16"/>
      </w:rPr>
      <w:fldChar w:fldCharType="begin"/>
    </w:r>
    <w:r>
      <w:rPr>
        <w:rFonts w:ascii="Calibri" w:cs="Calibri" w:eastAsia="Calibri" w:hAnsi="Calibri"/>
        <w:color w:val="5B6270"/>
        <w:sz w:val="16"/>
        <w:szCs w:val="16"/>
      </w:rPr>
      <w:instrText xml:space="preserve">PAGE</w:instrText>
    </w:r>
    <w:r>
      <w:rPr>
        <w:rFonts w:ascii="Calibri" w:cs="Calibri" w:eastAsia="Calibri" w:hAnsi="Calibri"/>
        <w:color w:val="5B6270"/>
        <w:sz w:val="16"/>
        <w:szCs w:val="16"/>
      </w:rPr>
      <w:fldChar w:fldCharType="separate"/>
    </w:r>
    <w:r>
      <w:rPr>
        <w:rFonts w:ascii="Calibri" w:cs="Calibri" w:eastAsia="Calibri" w:hAnsi="Calibri"/>
        <w:color w:val="5B627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270"/>
        <w:sz w:val="16"/>
        <w:szCs w:val="16"/>
      </w:rPr>
      <w:t xml:space="preserve">Order Rescue  |  Product 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20" w:hanging="260"/>
      </w:pPr>
    </w:lvl>
  </w:abstractNum>
  <w:abstractNum w:abstractNumId="3" w15:restartNumberingAfterBreak="0">
    <w:multiLevelType w:val="hybridMultilevel"/>
    <w:lvl w:ilvl="0" w:tentative="1">
      <w:start w:val="1"/>
      <w:numFmt w:val="decimal"/>
      <w:lvlText w:val="%1."/>
      <w:lvlJc w:val="left"/>
      <w:pPr>
        <w:ind w:left="520" w:hanging="320"/>
      </w:pPr>
    </w:lvl>
  </w:abstractNum>
  <w:abstractNum w:abstractNumId="4" w15:restartNumberingAfterBreak="0">
    <w:multiLevelType w:val="hybridMultilevel"/>
    <w:lvl w:ilvl="0" w:tentative="1">
      <w:start w:val="1"/>
      <w:numFmt w:val="decimal"/>
      <w:lvlText w:val="%1."/>
      <w:lvlJc w:val="left"/>
      <w:pPr>
        <w:ind w:left="520" w:hanging="320"/>
      </w:pPr>
    </w:lvl>
  </w:abstractNum>
  <w:abstractNum w:abstractNumId="5" w15:restartNumberingAfterBreak="0">
    <w:multiLevelType w:val="hybridMultilevel"/>
    <w:lvl w:ilvl="0" w:tentative="1">
      <w:start w:val="1"/>
      <w:numFmt w:val="decimal"/>
      <w:lvlText w:val="%1."/>
      <w:lvlJc w:val="left"/>
      <w:pPr>
        <w:ind w:left="520" w:hanging="320"/>
      </w:pPr>
    </w:lvl>
  </w:abstractNum>
  <w:abstractNum w:abstractNumId="6" w15:restartNumberingAfterBreak="0">
    <w:multiLevelType w:val="hybridMultilevel"/>
    <w:lvl w:ilvl="0" w:tentative="1">
      <w:start w:val="1"/>
      <w:numFmt w:val="decimal"/>
      <w:lvlText w:val="%1."/>
      <w:lvlJc w:val="left"/>
      <w:pPr>
        <w:ind w:left="5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40" w:before="360"/>
      <w:outlineLvl w:val="0"/>
    </w:pPr>
    <w:rPr>
      <w:rFonts w:ascii="Calibri" w:cs="Calibri" w:eastAsia="Calibri" w:hAnsi="Calibri"/>
      <w:b/>
      <w:bCs/>
      <w:sz w:val="32"/>
      <w:szCs w:val="32"/>
    </w:rPr>
  </w:style>
  <w:style w:type="paragraph" w:styleId="Heading2">
    <w:name w:val="Heading 2"/>
    <w:basedOn w:val="Normal"/>
    <w:next w:val="Normal"/>
    <w:qFormat/>
    <w:pPr>
      <w:spacing w:after="100" w:before="240"/>
      <w:outlineLvl w:val="1"/>
    </w:pPr>
    <w:rPr>
      <w:rFonts w:ascii="Calibri" w:cs="Calibri" w:eastAsia="Calibri" w:hAnsi="Calibri"/>
      <w:b/>
      <w:bCs/>
      <w:sz w:val="26"/>
      <w:szCs w:val="26"/>
    </w:rPr>
  </w:style>
  <w:style w:type="paragraph" w:styleId="Heading3">
    <w:name w:val="Heading 3"/>
    <w:basedOn w:val="Normal"/>
    <w:next w:val="Normal"/>
    <w:qFormat/>
    <w:pPr>
      <w:spacing w:after="80" w:before="160"/>
      <w:outlineLvl w:val="2"/>
    </w:pPr>
    <w:rPr>
      <w:rFonts w:ascii="Calibri" w:cs="Calibri" w:eastAsia="Calibri" w:hAnsi="Calibri"/>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 Rescue - Product Vision</dc:title>
  <dc:creator>Order Rescue team</dc:creator>
  <cp:lastModifiedBy>Un-named</cp:lastModifiedBy>
  <cp:revision>1</cp:revision>
  <dcterms:created xsi:type="dcterms:W3CDTF">2026-10-29T11:38:03.482Z</dcterms:created>
  <dcterms:modified xsi:type="dcterms:W3CDTF">2026-10-29T11:38:03.482Z</dcterms:modified>
</cp:coreProperties>
</file>

<file path=docProps/custom.xml><?xml version="1.0" encoding="utf-8"?>
<Properties xmlns="http://schemas.openxmlformats.org/officeDocument/2006/custom-properties" xmlns:vt="http://schemas.openxmlformats.org/officeDocument/2006/docPropsVTypes"/>
</file>