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rFonts w:ascii="Times New Roman" w:hAnsi="Times New Roman" w:eastAsia="Times New Roman"/>
          <w:b w:val="0"/>
          <w:i w:val="0"/>
          <w:sz w:val="32"/>
        </w:rPr>
        <w:t>ĐẠI HỌC QUỐC GIA THÀNH PHỐ HỒ CHÍ MINH</w:t>
      </w:r>
    </w:p>
    <w:p>
      <w:pPr>
        <w:pStyle w:val="Heading2"/>
        <w:ind w:firstLine="0"/>
        <w:jc w:val="center"/>
      </w:pPr>
      <w:r>
        <w:rPr>
          <w:rFonts w:ascii="Times New Roman" w:hAnsi="Times New Roman" w:eastAsia="Times New Roman"/>
          <w:b w:val="0"/>
          <w:i w:val="0"/>
          <w:sz w:val="30"/>
        </w:rPr>
        <w:t>TRƯỜNG ĐẠI HỌC CÔNG NGHỆ THÔNG TIN</w:t>
      </w:r>
    </w:p>
    <w:p>
      <w:pPr>
        <w:pStyle w:val="Heading3"/>
        <w:ind w:firstLine="0"/>
        <w:jc w:val="center"/>
      </w:pPr>
      <w:r>
        <w:rPr>
          <w:rFonts w:ascii="Times New Roman" w:hAnsi="Times New Roman" w:eastAsia="Times New Roman"/>
          <w:b w:val="0"/>
          <w:i w:val="0"/>
          <w:sz w:val="28"/>
        </w:rPr>
        <w:t>MÔN: PHÁP LUẬT ĐẠI CƯƠNG</w:t>
      </w:r>
    </w:p>
    <w:p>
      <w:pPr>
        <w:pStyle w:val="Heading2"/>
        <w:ind w:firstLine="0"/>
        <w:jc w:val="center"/>
      </w:pPr>
      <w:r>
        <w:rPr>
          <w:rFonts w:ascii="Times New Roman" w:hAnsi="Times New Roman" w:eastAsia="Times New Roman"/>
          <w:b w:val="0"/>
          <w:i w:val="0"/>
          <w:sz w:val="30"/>
        </w:rPr>
        <w:t>BÁO CÁO TIỂU LUẬN</w:t>
      </w:r>
    </w:p>
    <w:p>
      <w:pPr>
        <w:pStyle w:val="Heading3"/>
        <w:ind w:firstLine="0"/>
        <w:jc w:val="center"/>
      </w:pPr>
      <w:r>
        <w:rPr>
          <w:rFonts w:ascii="Times New Roman" w:hAnsi="Times New Roman" w:eastAsia="Times New Roman"/>
          <w:b w:val="0"/>
          <w:i w:val="0"/>
          <w:sz w:val="28"/>
        </w:rPr>
        <w:t>PHÂN TÍCH CÁC YẾU TỐ CẤU THÀNH VI PHẠM PHÁP LUẬT TỪ VỤ VIỆC QUẢNG CÁO GIAN DỐI SẢN PHẨM ĐÔNG Y TRÊN MẠNG XÃ HỘI</w:t>
      </w:r>
    </w:p>
    <w:p>
      <w:pPr>
        <w:pStyle w:val="Heading2"/>
        <w:ind w:firstLine="0"/>
        <w:jc w:val="center"/>
      </w:pPr>
      <w:r>
        <w:rPr>
          <w:rFonts w:ascii="Times New Roman" w:hAnsi="Times New Roman" w:eastAsia="Times New Roman"/>
          <w:b w:val="0"/>
          <w:i w:val="0"/>
          <w:sz w:val="30"/>
        </w:rPr>
        <w:t>THÔNG TIN CHUNG</w:t>
      </w:r>
    </w:p>
    <w:p>
      <w:pPr>
        <w:pStyle w:val="ListBullet"/>
        <w:ind w:firstLine="0"/>
        <w:jc w:val="both"/>
      </w:pPr>
      <w:r>
        <w:rPr>
          <w:rFonts w:ascii="Times New Roman" w:hAnsi="Times New Roman" w:eastAsia="Times New Roman"/>
          <w:b/>
          <w:i w:val="0"/>
          <w:sz w:val="26"/>
        </w:rPr>
        <w:t>Cơ sở đào tạo:</w:t>
      </w:r>
      <w:r>
        <w:rPr>
          <w:rFonts w:ascii="Times New Roman" w:hAnsi="Times New Roman" w:eastAsia="Times New Roman"/>
          <w:b w:val="0"/>
          <w:i w:val="0"/>
          <w:sz w:val="26"/>
        </w:rPr>
        <w:t xml:space="preserve"> Trường Đại học Công nghệ Thông tin – ĐHQG-HCM (UIT)</w:t>
      </w:r>
    </w:p>
    <w:p>
      <w:pPr>
        <w:pStyle w:val="ListBullet"/>
        <w:ind w:firstLine="0"/>
        <w:jc w:val="both"/>
      </w:pPr>
      <w:r>
        <w:rPr>
          <w:rFonts w:ascii="Times New Roman" w:hAnsi="Times New Roman" w:eastAsia="Times New Roman"/>
          <w:b/>
          <w:i w:val="0"/>
          <w:sz w:val="26"/>
        </w:rPr>
        <w:t>Khoa / Bộ môn:</w:t>
      </w:r>
      <w:r>
        <w:rPr>
          <w:rFonts w:ascii="Times New Roman" w:hAnsi="Times New Roman" w:eastAsia="Times New Roman"/>
          <w:b w:val="0"/>
          <w:i w:val="0"/>
          <w:sz w:val="26"/>
        </w:rPr>
        <w:t xml:space="preserve"> Bộ môn Lý luận Chính trị</w:t>
      </w:r>
    </w:p>
    <w:p>
      <w:pPr>
        <w:pStyle w:val="ListBullet"/>
        <w:ind w:firstLine="0"/>
        <w:jc w:val="both"/>
      </w:pPr>
      <w:r>
        <w:rPr>
          <w:rFonts w:ascii="Times New Roman" w:hAnsi="Times New Roman" w:eastAsia="Times New Roman"/>
          <w:b/>
          <w:i w:val="0"/>
          <w:sz w:val="26"/>
        </w:rPr>
        <w:t>Môn học:</w:t>
      </w:r>
      <w:r>
        <w:rPr>
          <w:rFonts w:ascii="Times New Roman" w:hAnsi="Times New Roman" w:eastAsia="Times New Roman"/>
          <w:b w:val="0"/>
          <w:i w:val="0"/>
          <w:sz w:val="26"/>
        </w:rPr>
        <w:t xml:space="preserve"> Pháp luật đại cương</w:t>
      </w:r>
    </w:p>
    <w:p>
      <w:pPr>
        <w:pStyle w:val="ListBullet"/>
        <w:ind w:firstLine="0"/>
        <w:jc w:val="both"/>
      </w:pPr>
      <w:r>
        <w:rPr>
          <w:rFonts w:ascii="Times New Roman" w:hAnsi="Times New Roman" w:eastAsia="Times New Roman"/>
          <w:b/>
          <w:i w:val="0"/>
          <w:sz w:val="26"/>
        </w:rPr>
        <w:t>Giảng viên hướng dẫn:</w:t>
      </w:r>
      <w:r>
        <w:rPr>
          <w:rFonts w:ascii="Times New Roman" w:hAnsi="Times New Roman" w:eastAsia="Times New Roman"/>
          <w:b w:val="0"/>
          <w:i w:val="0"/>
          <w:sz w:val="26"/>
        </w:rPr>
        <w:t xml:space="preserve"> [PLACEHOLDER]</w:t>
      </w:r>
    </w:p>
    <w:p>
      <w:pPr>
        <w:pStyle w:val="ListBullet"/>
        <w:ind w:firstLine="0"/>
        <w:jc w:val="both"/>
      </w:pPr>
      <w:r>
        <w:rPr>
          <w:rFonts w:ascii="Times New Roman" w:hAnsi="Times New Roman" w:eastAsia="Times New Roman"/>
          <w:b/>
          <w:i w:val="0"/>
          <w:sz w:val="26"/>
        </w:rPr>
        <w:t>Lớp học phần:</w:t>
      </w:r>
      <w:r>
        <w:rPr>
          <w:rFonts w:ascii="Times New Roman" w:hAnsi="Times New Roman" w:eastAsia="Times New Roman"/>
          <w:b w:val="0"/>
          <w:i w:val="0"/>
          <w:sz w:val="26"/>
        </w:rPr>
        <w:t xml:space="preserve"> [PLACEHOLDER]</w:t>
      </w:r>
    </w:p>
    <w:p>
      <w:pPr>
        <w:pStyle w:val="ListBullet"/>
        <w:ind w:firstLine="0"/>
        <w:jc w:val="both"/>
      </w:pPr>
      <w:r>
        <w:rPr>
          <w:rFonts w:ascii="Times New Roman" w:hAnsi="Times New Roman" w:eastAsia="Times New Roman"/>
          <w:b/>
          <w:i w:val="0"/>
          <w:sz w:val="26"/>
        </w:rPr>
        <w:t>Nhóm sinh viên thực hiện:</w:t>
      </w:r>
      <w:r>
        <w:rPr>
          <w:rFonts w:ascii="Times New Roman" w:hAnsi="Times New Roman" w:eastAsia="Times New Roman"/>
          <w:b w:val="0"/>
          <w:i w:val="0"/>
          <w:sz w:val="26"/>
        </w:rPr>
        <w:t xml:space="preserve"> [PLACEHOLDER]</w:t>
      </w:r>
    </w:p>
    <w:p>
      <w:pPr>
        <w:pStyle w:val="ListBullet"/>
        <w:ind w:firstLine="0"/>
        <w:jc w:val="both"/>
      </w:pPr>
      <w:r>
        <w:rPr>
          <w:rFonts w:ascii="Times New Roman" w:hAnsi="Times New Roman" w:eastAsia="Times New Roman"/>
          <w:b/>
          <w:i w:val="0"/>
          <w:sz w:val="26"/>
        </w:rPr>
        <w:t>Sinh viên / MSSV:</w:t>
      </w:r>
      <w:r>
        <w:rPr>
          <w:rFonts w:ascii="Times New Roman" w:hAnsi="Times New Roman" w:eastAsia="Times New Roman"/>
          <w:b w:val="0"/>
          <w:i w:val="0"/>
          <w:sz w:val="26"/>
        </w:rPr>
        <w:t xml:space="preserve"> [PLACEHOLDER]</w:t>
      </w:r>
    </w:p>
    <w:p>
      <w:pPr>
        <w:pStyle w:val="ListBullet"/>
        <w:ind w:firstLine="0"/>
        <w:jc w:val="both"/>
      </w:pPr>
      <w:r>
        <w:rPr>
          <w:rFonts w:ascii="Times New Roman" w:hAnsi="Times New Roman" w:eastAsia="Times New Roman"/>
          <w:b/>
          <w:i w:val="0"/>
          <w:sz w:val="26"/>
        </w:rPr>
        <w:t>Năm học:</w:t>
      </w:r>
      <w:r>
        <w:rPr>
          <w:rFonts w:ascii="Times New Roman" w:hAnsi="Times New Roman" w:eastAsia="Times New Roman"/>
          <w:b w:val="0"/>
          <w:i w:val="0"/>
          <w:sz w:val="26"/>
        </w:rPr>
        <w:t xml:space="preserve"> 2025 – 2026</w:t>
      </w:r>
    </w:p>
    <w:p>
      <w:pPr>
        <w:pStyle w:val="ListBullet"/>
        <w:ind w:firstLine="0"/>
        <w:jc w:val="both"/>
      </w:pPr>
      <w:r>
        <w:rPr>
          <w:rFonts w:ascii="Times New Roman" w:hAnsi="Times New Roman" w:eastAsia="Times New Roman"/>
          <w:b/>
          <w:i w:val="0"/>
          <w:sz w:val="26"/>
        </w:rPr>
        <w:t>Địa điểm, năm:</w:t>
      </w:r>
      <w:r>
        <w:rPr>
          <w:rFonts w:ascii="Times New Roman" w:hAnsi="Times New Roman" w:eastAsia="Times New Roman"/>
          <w:b w:val="0"/>
          <w:i w:val="0"/>
          <w:sz w:val="26"/>
        </w:rPr>
        <w:t xml:space="preserve"> TP. Hồ Chí Minh, 2026</w:t>
      </w:r>
    </w:p>
    <w:p>
      <w:r>
        <w:br w:type="page"/>
      </w:r>
    </w:p>
    <w:p>
      <w:pPr>
        <w:pStyle w:val="Heading2"/>
        <w:ind w:firstLine="0"/>
        <w:jc w:val="center"/>
      </w:pPr>
      <w:r>
        <w:rPr>
          <w:rFonts w:ascii="Times New Roman" w:hAnsi="Times New Roman" w:eastAsia="Times New Roman"/>
          <w:b w:val="0"/>
          <w:i w:val="0"/>
          <w:sz w:val="30"/>
        </w:rPr>
        <w:t>DANH SÁCH THÀNH VIÊN VÀ PHÂN CÔNG NHIỆM VỤ</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vAlign w:val="center"/>
          </w:tcPr>
          <w:p>
            <w:pPr>
              <w:spacing w:after="0"/>
              <w:jc w:val="center"/>
            </w:pPr>
            <w:r>
              <w:rPr>
                <w:b/>
              </w:rPr>
            </w:r>
            <w:r>
              <w:rPr>
                <w:rFonts w:ascii="Times New Roman" w:hAnsi="Times New Roman" w:eastAsia="Times New Roman"/>
                <w:b/>
                <w:i w:val="0"/>
                <w:sz w:val="18"/>
              </w:rPr>
              <w:t>STT</w:t>
            </w:r>
          </w:p>
        </w:tc>
        <w:tc>
          <w:tcPr>
            <w:tcW w:type="dxa" w:w="1493"/>
            <w:vAlign w:val="center"/>
          </w:tcPr>
          <w:p>
            <w:pPr>
              <w:spacing w:after="0"/>
              <w:jc w:val="center"/>
            </w:pPr>
            <w:r>
              <w:rPr>
                <w:b/>
              </w:rPr>
            </w:r>
            <w:r>
              <w:rPr>
                <w:rFonts w:ascii="Times New Roman" w:hAnsi="Times New Roman" w:eastAsia="Times New Roman"/>
                <w:b/>
                <w:i w:val="0"/>
                <w:sz w:val="18"/>
              </w:rPr>
              <w:t>Họ và tên</w:t>
            </w:r>
          </w:p>
        </w:tc>
        <w:tc>
          <w:tcPr>
            <w:tcW w:type="dxa" w:w="1493"/>
            <w:vAlign w:val="center"/>
          </w:tcPr>
          <w:p>
            <w:pPr>
              <w:spacing w:after="0"/>
              <w:jc w:val="center"/>
            </w:pPr>
            <w:r>
              <w:rPr>
                <w:b/>
              </w:rPr>
            </w:r>
            <w:r>
              <w:rPr>
                <w:rFonts w:ascii="Times New Roman" w:hAnsi="Times New Roman" w:eastAsia="Times New Roman"/>
                <w:b/>
                <w:i w:val="0"/>
                <w:sz w:val="18"/>
              </w:rPr>
              <w:t>Mã số sinh viên</w:t>
            </w:r>
          </w:p>
        </w:tc>
        <w:tc>
          <w:tcPr>
            <w:tcW w:type="dxa" w:w="1493"/>
            <w:vAlign w:val="center"/>
          </w:tcPr>
          <w:p>
            <w:pPr>
              <w:spacing w:after="0"/>
              <w:jc w:val="center"/>
            </w:pPr>
            <w:r>
              <w:rPr>
                <w:b/>
              </w:rPr>
            </w:r>
            <w:r>
              <w:rPr>
                <w:rFonts w:ascii="Times New Roman" w:hAnsi="Times New Roman" w:eastAsia="Times New Roman"/>
                <w:b/>
                <w:i w:val="0"/>
                <w:sz w:val="18"/>
              </w:rPr>
              <w:t>Vai trò trong nhóm</w:t>
            </w:r>
          </w:p>
        </w:tc>
        <w:tc>
          <w:tcPr>
            <w:tcW w:type="dxa" w:w="1493"/>
            <w:vAlign w:val="center"/>
          </w:tcPr>
          <w:p>
            <w:pPr>
              <w:spacing w:after="0"/>
              <w:jc w:val="center"/>
            </w:pPr>
            <w:r>
              <w:rPr>
                <w:b/>
              </w:rPr>
            </w:r>
            <w:r>
              <w:rPr>
                <w:rFonts w:ascii="Times New Roman" w:hAnsi="Times New Roman" w:eastAsia="Times New Roman"/>
                <w:b/>
                <w:i w:val="0"/>
                <w:sz w:val="18"/>
              </w:rPr>
              <w:t>Nội dung phân công phụ trách</w:t>
            </w:r>
          </w:p>
        </w:tc>
        <w:tc>
          <w:tcPr>
            <w:tcW w:type="dxa" w:w="1493"/>
            <w:vAlign w:val="center"/>
          </w:tcPr>
          <w:p>
            <w:pPr>
              <w:spacing w:after="0"/>
              <w:jc w:val="center"/>
            </w:pPr>
            <w:r>
              <w:rPr>
                <w:b/>
              </w:rPr>
            </w:r>
            <w:r>
              <w:rPr>
                <w:rFonts w:ascii="Times New Roman" w:hAnsi="Times New Roman" w:eastAsia="Times New Roman"/>
                <w:b/>
                <w:i w:val="0"/>
                <w:sz w:val="18"/>
              </w:rPr>
              <w:t>Đánh giá hoàn thành</w:t>
            </w:r>
          </w:p>
        </w:tc>
      </w:tr>
      <w:tr>
        <w:tc>
          <w:tcPr>
            <w:tcW w:type="dxa" w:w="1493"/>
            <w:vAlign w:val="center"/>
          </w:tcPr>
          <w:p>
            <w:pPr>
              <w:spacing w:after="0"/>
              <w:jc w:val="left"/>
            </w:pPr>
            <w:r>
              <w:rPr/>
            </w:r>
            <w:r>
              <w:rPr>
                <w:rFonts w:ascii="Times New Roman" w:hAnsi="Times New Roman" w:eastAsia="Times New Roman"/>
                <w:b w:val="0"/>
                <w:i w:val="0"/>
                <w:sz w:val="18"/>
              </w:rPr>
              <w:t>1</w:t>
            </w:r>
          </w:p>
        </w:tc>
        <w:tc>
          <w:tcPr>
            <w:tcW w:type="dxa" w:w="1493"/>
            <w:vAlign w:val="center"/>
          </w:tcPr>
          <w:p>
            <w:pPr>
              <w:spacing w:after="0"/>
              <w:jc w:val="left"/>
            </w:pPr>
            <w:r>
              <w:rPr/>
            </w:r>
            <w:r>
              <w:rPr>
                <w:rFonts w:ascii="Times New Roman" w:hAnsi="Times New Roman" w:eastAsia="Times New Roman"/>
                <w:b w:val="0"/>
                <w:i w:val="0"/>
                <w:sz w:val="18"/>
              </w:rPr>
              <w:t>[Placeholder - Tên TV 1]</w:t>
            </w:r>
          </w:p>
        </w:tc>
        <w:tc>
          <w:tcPr>
            <w:tcW w:type="dxa" w:w="1493"/>
            <w:vAlign w:val="center"/>
          </w:tcPr>
          <w:p>
            <w:pPr>
              <w:spacing w:after="0"/>
              <w:jc w:val="left"/>
            </w:pPr>
            <w:r>
              <w:rPr/>
            </w:r>
            <w:r>
              <w:rPr>
                <w:rFonts w:ascii="Times New Roman" w:hAnsi="Times New Roman" w:eastAsia="Times New Roman"/>
                <w:b w:val="0"/>
                <w:i w:val="0"/>
                <w:sz w:val="18"/>
              </w:rPr>
              <w:t>[MSSV 1]</w:t>
            </w:r>
          </w:p>
        </w:tc>
        <w:tc>
          <w:tcPr>
            <w:tcW w:type="dxa" w:w="1493"/>
            <w:vAlign w:val="center"/>
          </w:tcPr>
          <w:p>
            <w:pPr>
              <w:spacing w:after="0"/>
              <w:jc w:val="left"/>
            </w:pPr>
            <w:r>
              <w:rPr/>
            </w:r>
            <w:r>
              <w:rPr>
                <w:rFonts w:ascii="Times New Roman" w:hAnsi="Times New Roman" w:eastAsia="Times New Roman"/>
                <w:b w:val="0"/>
                <w:i w:val="0"/>
                <w:sz w:val="18"/>
              </w:rPr>
              <w:t>Nhóm trưởng</w:t>
            </w:r>
          </w:p>
        </w:tc>
        <w:tc>
          <w:tcPr>
            <w:tcW w:type="dxa" w:w="1493"/>
            <w:vAlign w:val="center"/>
          </w:tcPr>
          <w:p>
            <w:pPr>
              <w:spacing w:after="0"/>
              <w:jc w:val="left"/>
            </w:pPr>
            <w:r>
              <w:rPr/>
            </w:r>
            <w:r>
              <w:rPr>
                <w:rFonts w:ascii="Times New Roman" w:hAnsi="Times New Roman" w:eastAsia="Times New Roman"/>
                <w:b w:val="0"/>
                <w:i w:val="0"/>
                <w:sz w:val="18"/>
              </w:rPr>
              <w:t>Điều phối chung, Phân tích Mặt khách quan, Tổng hợp báo cáo</w:t>
            </w:r>
          </w:p>
        </w:tc>
        <w:tc>
          <w:tcPr>
            <w:tcW w:type="dxa" w:w="1493"/>
            <w:vAlign w:val="center"/>
          </w:tcPr>
          <w:p>
            <w:pPr>
              <w:spacing w:after="0"/>
              <w:jc w:val="left"/>
            </w:pPr>
            <w:r>
              <w:rPr/>
            </w:r>
            <w:r>
              <w:rPr>
                <w:rFonts w:ascii="Times New Roman" w:hAnsi="Times New Roman" w:eastAsia="Times New Roman"/>
                <w:b w:val="0"/>
                <w:i w:val="0"/>
                <w:sz w:val="18"/>
              </w:rPr>
              <w:t>100%</w:t>
            </w:r>
          </w:p>
        </w:tc>
      </w:tr>
      <w:tr>
        <w:tc>
          <w:tcPr>
            <w:tcW w:type="dxa" w:w="1493"/>
            <w:vAlign w:val="center"/>
          </w:tcPr>
          <w:p>
            <w:pPr>
              <w:spacing w:after="0"/>
              <w:jc w:val="left"/>
            </w:pPr>
            <w:r>
              <w:rPr/>
            </w:r>
            <w:r>
              <w:rPr>
                <w:rFonts w:ascii="Times New Roman" w:hAnsi="Times New Roman" w:eastAsia="Times New Roman"/>
                <w:b w:val="0"/>
                <w:i w:val="0"/>
                <w:sz w:val="18"/>
              </w:rPr>
              <w:t>2</w:t>
            </w:r>
          </w:p>
        </w:tc>
        <w:tc>
          <w:tcPr>
            <w:tcW w:type="dxa" w:w="1493"/>
            <w:vAlign w:val="center"/>
          </w:tcPr>
          <w:p>
            <w:pPr>
              <w:spacing w:after="0"/>
              <w:jc w:val="left"/>
            </w:pPr>
            <w:r>
              <w:rPr/>
            </w:r>
            <w:r>
              <w:rPr>
                <w:rFonts w:ascii="Times New Roman" w:hAnsi="Times New Roman" w:eastAsia="Times New Roman"/>
                <w:b w:val="0"/>
                <w:i w:val="0"/>
                <w:sz w:val="18"/>
              </w:rPr>
              <w:t>[Placeholder - Tên TV 2]</w:t>
            </w:r>
          </w:p>
        </w:tc>
        <w:tc>
          <w:tcPr>
            <w:tcW w:type="dxa" w:w="1493"/>
            <w:vAlign w:val="center"/>
          </w:tcPr>
          <w:p>
            <w:pPr>
              <w:spacing w:after="0"/>
              <w:jc w:val="left"/>
            </w:pPr>
            <w:r>
              <w:rPr/>
            </w:r>
            <w:r>
              <w:rPr>
                <w:rFonts w:ascii="Times New Roman" w:hAnsi="Times New Roman" w:eastAsia="Times New Roman"/>
                <w:b w:val="0"/>
                <w:i w:val="0"/>
                <w:sz w:val="18"/>
              </w:rPr>
              <w:t>[MSSV 2]</w:t>
            </w:r>
          </w:p>
        </w:tc>
        <w:tc>
          <w:tcPr>
            <w:tcW w:type="dxa" w:w="1493"/>
            <w:vAlign w:val="center"/>
          </w:tcPr>
          <w:p>
            <w:pPr>
              <w:spacing w:after="0"/>
              <w:jc w:val="left"/>
            </w:pPr>
            <w:r>
              <w:rPr/>
            </w:r>
            <w:r>
              <w:rPr>
                <w:rFonts w:ascii="Times New Roman" w:hAnsi="Times New Roman" w:eastAsia="Times New Roman"/>
                <w:b w:val="0"/>
                <w:i w:val="0"/>
                <w:sz w:val="18"/>
              </w:rPr>
              <w:t>Thành viên</w:t>
            </w:r>
          </w:p>
        </w:tc>
        <w:tc>
          <w:tcPr>
            <w:tcW w:type="dxa" w:w="1493"/>
            <w:vAlign w:val="center"/>
          </w:tcPr>
          <w:p>
            <w:pPr>
              <w:spacing w:after="0"/>
              <w:jc w:val="left"/>
            </w:pPr>
            <w:r>
              <w:rPr/>
            </w:r>
            <w:r>
              <w:rPr>
                <w:rFonts w:ascii="Times New Roman" w:hAnsi="Times New Roman" w:eastAsia="Times New Roman"/>
                <w:b w:val="0"/>
                <w:i w:val="0"/>
                <w:sz w:val="18"/>
              </w:rPr>
              <w:t>Mở đầu, Cơ sở lý luận (Chương 1), Phân tích Khách thể</w:t>
            </w:r>
          </w:p>
        </w:tc>
        <w:tc>
          <w:tcPr>
            <w:tcW w:type="dxa" w:w="1493"/>
            <w:vAlign w:val="center"/>
          </w:tcPr>
          <w:p>
            <w:pPr>
              <w:spacing w:after="0"/>
              <w:jc w:val="left"/>
            </w:pPr>
            <w:r>
              <w:rPr/>
            </w:r>
            <w:r>
              <w:rPr>
                <w:rFonts w:ascii="Times New Roman" w:hAnsi="Times New Roman" w:eastAsia="Times New Roman"/>
                <w:b w:val="0"/>
                <w:i w:val="0"/>
                <w:sz w:val="18"/>
              </w:rPr>
              <w:t>100%</w:t>
            </w:r>
          </w:p>
        </w:tc>
      </w:tr>
      <w:tr>
        <w:tc>
          <w:tcPr>
            <w:tcW w:type="dxa" w:w="1493"/>
            <w:vAlign w:val="center"/>
          </w:tcPr>
          <w:p>
            <w:pPr>
              <w:spacing w:after="0"/>
              <w:jc w:val="left"/>
            </w:pPr>
            <w:r>
              <w:rPr/>
            </w:r>
            <w:r>
              <w:rPr>
                <w:rFonts w:ascii="Times New Roman" w:hAnsi="Times New Roman" w:eastAsia="Times New Roman"/>
                <w:b w:val="0"/>
                <w:i w:val="0"/>
                <w:sz w:val="18"/>
              </w:rPr>
              <w:t>3</w:t>
            </w:r>
          </w:p>
        </w:tc>
        <w:tc>
          <w:tcPr>
            <w:tcW w:type="dxa" w:w="1493"/>
            <w:vAlign w:val="center"/>
          </w:tcPr>
          <w:p>
            <w:pPr>
              <w:spacing w:after="0"/>
              <w:jc w:val="left"/>
            </w:pPr>
            <w:r>
              <w:rPr/>
            </w:r>
            <w:r>
              <w:rPr>
                <w:rFonts w:ascii="Times New Roman" w:hAnsi="Times New Roman" w:eastAsia="Times New Roman"/>
                <w:b w:val="0"/>
                <w:i w:val="0"/>
                <w:sz w:val="18"/>
              </w:rPr>
              <w:t>[Placeholder - Tên TV 3]</w:t>
            </w:r>
          </w:p>
        </w:tc>
        <w:tc>
          <w:tcPr>
            <w:tcW w:type="dxa" w:w="1493"/>
            <w:vAlign w:val="center"/>
          </w:tcPr>
          <w:p>
            <w:pPr>
              <w:spacing w:after="0"/>
              <w:jc w:val="left"/>
            </w:pPr>
            <w:r>
              <w:rPr/>
            </w:r>
            <w:r>
              <w:rPr>
                <w:rFonts w:ascii="Times New Roman" w:hAnsi="Times New Roman" w:eastAsia="Times New Roman"/>
                <w:b w:val="0"/>
                <w:i w:val="0"/>
                <w:sz w:val="18"/>
              </w:rPr>
              <w:t>[MSSV 3]</w:t>
            </w:r>
          </w:p>
        </w:tc>
        <w:tc>
          <w:tcPr>
            <w:tcW w:type="dxa" w:w="1493"/>
            <w:vAlign w:val="center"/>
          </w:tcPr>
          <w:p>
            <w:pPr>
              <w:spacing w:after="0"/>
              <w:jc w:val="left"/>
            </w:pPr>
            <w:r>
              <w:rPr/>
            </w:r>
            <w:r>
              <w:rPr>
                <w:rFonts w:ascii="Times New Roman" w:hAnsi="Times New Roman" w:eastAsia="Times New Roman"/>
                <w:b w:val="0"/>
                <w:i w:val="0"/>
                <w:sz w:val="18"/>
              </w:rPr>
              <w:t>Thành viên</w:t>
            </w:r>
          </w:p>
        </w:tc>
        <w:tc>
          <w:tcPr>
            <w:tcW w:type="dxa" w:w="1493"/>
            <w:vAlign w:val="center"/>
          </w:tcPr>
          <w:p>
            <w:pPr>
              <w:spacing w:after="0"/>
              <w:jc w:val="left"/>
            </w:pPr>
            <w:r>
              <w:rPr/>
            </w:r>
            <w:r>
              <w:rPr>
                <w:rFonts w:ascii="Times New Roman" w:hAnsi="Times New Roman" w:eastAsia="Times New Roman"/>
                <w:b w:val="0"/>
                <w:i w:val="0"/>
                <w:sz w:val="18"/>
              </w:rPr>
              <w:t>Khái quát vụ việc (Chương 2), Dữ liệu tố tụng, Timeline</w:t>
            </w:r>
          </w:p>
        </w:tc>
        <w:tc>
          <w:tcPr>
            <w:tcW w:type="dxa" w:w="1493"/>
            <w:vAlign w:val="center"/>
          </w:tcPr>
          <w:p>
            <w:pPr>
              <w:spacing w:after="0"/>
              <w:jc w:val="left"/>
            </w:pPr>
            <w:r>
              <w:rPr/>
            </w:r>
            <w:r>
              <w:rPr>
                <w:rFonts w:ascii="Times New Roman" w:hAnsi="Times New Roman" w:eastAsia="Times New Roman"/>
                <w:b w:val="0"/>
                <w:i w:val="0"/>
                <w:sz w:val="18"/>
              </w:rPr>
              <w:t>100%</w:t>
            </w:r>
          </w:p>
        </w:tc>
      </w:tr>
      <w:tr>
        <w:tc>
          <w:tcPr>
            <w:tcW w:type="dxa" w:w="1493"/>
            <w:vAlign w:val="center"/>
          </w:tcPr>
          <w:p>
            <w:pPr>
              <w:spacing w:after="0"/>
              <w:jc w:val="left"/>
            </w:pPr>
            <w:r>
              <w:rPr/>
            </w:r>
            <w:r>
              <w:rPr>
                <w:rFonts w:ascii="Times New Roman" w:hAnsi="Times New Roman" w:eastAsia="Times New Roman"/>
                <w:b w:val="0"/>
                <w:i w:val="0"/>
                <w:sz w:val="18"/>
              </w:rPr>
              <w:t>4</w:t>
            </w:r>
          </w:p>
        </w:tc>
        <w:tc>
          <w:tcPr>
            <w:tcW w:type="dxa" w:w="1493"/>
            <w:vAlign w:val="center"/>
          </w:tcPr>
          <w:p>
            <w:pPr>
              <w:spacing w:after="0"/>
              <w:jc w:val="left"/>
            </w:pPr>
            <w:r>
              <w:rPr/>
            </w:r>
            <w:r>
              <w:rPr>
                <w:rFonts w:ascii="Times New Roman" w:hAnsi="Times New Roman" w:eastAsia="Times New Roman"/>
                <w:b w:val="0"/>
                <w:i w:val="0"/>
                <w:sz w:val="18"/>
              </w:rPr>
              <w:t>[Placeholder - Tên TV 4]</w:t>
            </w:r>
          </w:p>
        </w:tc>
        <w:tc>
          <w:tcPr>
            <w:tcW w:type="dxa" w:w="1493"/>
            <w:vAlign w:val="center"/>
          </w:tcPr>
          <w:p>
            <w:pPr>
              <w:spacing w:after="0"/>
              <w:jc w:val="left"/>
            </w:pPr>
            <w:r>
              <w:rPr/>
            </w:r>
            <w:r>
              <w:rPr>
                <w:rFonts w:ascii="Times New Roman" w:hAnsi="Times New Roman" w:eastAsia="Times New Roman"/>
                <w:b w:val="0"/>
                <w:i w:val="0"/>
                <w:sz w:val="18"/>
              </w:rPr>
              <w:t>[MSSV 4]</w:t>
            </w:r>
          </w:p>
        </w:tc>
        <w:tc>
          <w:tcPr>
            <w:tcW w:type="dxa" w:w="1493"/>
            <w:vAlign w:val="center"/>
          </w:tcPr>
          <w:p>
            <w:pPr>
              <w:spacing w:after="0"/>
              <w:jc w:val="left"/>
            </w:pPr>
            <w:r>
              <w:rPr/>
            </w:r>
            <w:r>
              <w:rPr>
                <w:rFonts w:ascii="Times New Roman" w:hAnsi="Times New Roman" w:eastAsia="Times New Roman"/>
                <w:b w:val="0"/>
                <w:i w:val="0"/>
                <w:sz w:val="18"/>
              </w:rPr>
              <w:t>Thành viên</w:t>
            </w:r>
          </w:p>
        </w:tc>
        <w:tc>
          <w:tcPr>
            <w:tcW w:type="dxa" w:w="1493"/>
            <w:vAlign w:val="center"/>
          </w:tcPr>
          <w:p>
            <w:pPr>
              <w:spacing w:after="0"/>
              <w:jc w:val="left"/>
            </w:pPr>
            <w:r>
              <w:rPr/>
            </w:r>
            <w:r>
              <w:rPr>
                <w:rFonts w:ascii="Times New Roman" w:hAnsi="Times New Roman" w:eastAsia="Times New Roman"/>
                <w:b w:val="0"/>
                <w:i w:val="0"/>
                <w:sz w:val="18"/>
              </w:rPr>
              <w:t>Phân tích Chủ thể và Mặt chủ quan, Ma trận đối chiếu</w:t>
            </w:r>
          </w:p>
        </w:tc>
        <w:tc>
          <w:tcPr>
            <w:tcW w:type="dxa" w:w="1493"/>
            <w:vAlign w:val="center"/>
          </w:tcPr>
          <w:p>
            <w:pPr>
              <w:spacing w:after="0"/>
              <w:jc w:val="left"/>
            </w:pPr>
            <w:r>
              <w:rPr/>
            </w:r>
            <w:r>
              <w:rPr>
                <w:rFonts w:ascii="Times New Roman" w:hAnsi="Times New Roman" w:eastAsia="Times New Roman"/>
                <w:b w:val="0"/>
                <w:i w:val="0"/>
                <w:sz w:val="18"/>
              </w:rPr>
              <w:t>100%</w:t>
            </w:r>
          </w:p>
        </w:tc>
      </w:tr>
      <w:tr>
        <w:tc>
          <w:tcPr>
            <w:tcW w:type="dxa" w:w="1493"/>
            <w:vAlign w:val="center"/>
          </w:tcPr>
          <w:p>
            <w:pPr>
              <w:spacing w:after="0"/>
              <w:jc w:val="left"/>
            </w:pPr>
            <w:r>
              <w:rPr/>
            </w:r>
            <w:r>
              <w:rPr>
                <w:rFonts w:ascii="Times New Roman" w:hAnsi="Times New Roman" w:eastAsia="Times New Roman"/>
                <w:b w:val="0"/>
                <w:i w:val="0"/>
                <w:sz w:val="18"/>
              </w:rPr>
              <w:t>5</w:t>
            </w:r>
          </w:p>
        </w:tc>
        <w:tc>
          <w:tcPr>
            <w:tcW w:type="dxa" w:w="1493"/>
            <w:vAlign w:val="center"/>
          </w:tcPr>
          <w:p>
            <w:pPr>
              <w:spacing w:after="0"/>
              <w:jc w:val="left"/>
            </w:pPr>
            <w:r>
              <w:rPr/>
            </w:r>
            <w:r>
              <w:rPr>
                <w:rFonts w:ascii="Times New Roman" w:hAnsi="Times New Roman" w:eastAsia="Times New Roman"/>
                <w:b w:val="0"/>
                <w:i w:val="0"/>
                <w:sz w:val="18"/>
              </w:rPr>
              <w:t>[Placeholder - Tên TV 5]</w:t>
            </w:r>
          </w:p>
        </w:tc>
        <w:tc>
          <w:tcPr>
            <w:tcW w:type="dxa" w:w="1493"/>
            <w:vAlign w:val="center"/>
          </w:tcPr>
          <w:p>
            <w:pPr>
              <w:spacing w:after="0"/>
              <w:jc w:val="left"/>
            </w:pPr>
            <w:r>
              <w:rPr/>
            </w:r>
            <w:r>
              <w:rPr>
                <w:rFonts w:ascii="Times New Roman" w:hAnsi="Times New Roman" w:eastAsia="Times New Roman"/>
                <w:b w:val="0"/>
                <w:i w:val="0"/>
                <w:sz w:val="18"/>
              </w:rPr>
              <w:t>[MSSV 5]</w:t>
            </w:r>
          </w:p>
        </w:tc>
        <w:tc>
          <w:tcPr>
            <w:tcW w:type="dxa" w:w="1493"/>
            <w:vAlign w:val="center"/>
          </w:tcPr>
          <w:p>
            <w:pPr>
              <w:spacing w:after="0"/>
              <w:jc w:val="left"/>
            </w:pPr>
            <w:r>
              <w:rPr/>
            </w:r>
            <w:r>
              <w:rPr>
                <w:rFonts w:ascii="Times New Roman" w:hAnsi="Times New Roman" w:eastAsia="Times New Roman"/>
                <w:b w:val="0"/>
                <w:i w:val="0"/>
                <w:sz w:val="18"/>
              </w:rPr>
              <w:t>Thành viên</w:t>
            </w:r>
          </w:p>
        </w:tc>
        <w:tc>
          <w:tcPr>
            <w:tcW w:type="dxa" w:w="1493"/>
            <w:vAlign w:val="center"/>
          </w:tcPr>
          <w:p>
            <w:pPr>
              <w:spacing w:after="0"/>
              <w:jc w:val="left"/>
            </w:pPr>
            <w:r>
              <w:rPr/>
            </w:r>
            <w:r>
              <w:rPr>
                <w:rFonts w:ascii="Times New Roman" w:hAnsi="Times New Roman" w:eastAsia="Times New Roman"/>
                <w:b w:val="0"/>
                <w:i w:val="0"/>
                <w:sz w:val="18"/>
              </w:rPr>
              <w:t>Nhận xét, Bài học, Kiến nghị (Chương 4), Tài liệu tham khảo</w:t>
            </w:r>
          </w:p>
        </w:tc>
        <w:tc>
          <w:tcPr>
            <w:tcW w:type="dxa" w:w="1493"/>
            <w:vAlign w:val="center"/>
          </w:tcPr>
          <w:p>
            <w:pPr>
              <w:spacing w:after="0"/>
              <w:jc w:val="left"/>
            </w:pPr>
            <w:r>
              <w:rPr/>
            </w:r>
            <w:r>
              <w:rPr>
                <w:rFonts w:ascii="Times New Roman" w:hAnsi="Times New Roman" w:eastAsia="Times New Roman"/>
                <w:b w:val="0"/>
                <w:i w:val="0"/>
                <w:sz w:val="18"/>
              </w:rPr>
              <w:t>100%</w:t>
            </w:r>
          </w:p>
        </w:tc>
      </w:tr>
    </w:tbl>
    <w:p>
      <w:pPr>
        <w:pStyle w:val="Heading2"/>
        <w:ind w:firstLine="0"/>
        <w:jc w:val="center"/>
      </w:pPr>
      <w:r>
        <w:rPr>
          <w:rFonts w:ascii="Times New Roman" w:hAnsi="Times New Roman" w:eastAsia="Times New Roman"/>
          <w:b w:val="0"/>
          <w:i w:val="0"/>
          <w:sz w:val="30"/>
        </w:rPr>
        <w:t>MỤC LỤC</w:t>
      </w:r>
    </w:p>
    <w:p>
      <w:pPr>
        <w:pStyle w:val="ListBullet"/>
        <w:ind w:firstLine="0"/>
        <w:jc w:val="both"/>
      </w:pPr>
      <w:r>
        <w:rPr>
          <w:rFonts w:ascii="Times New Roman" w:hAnsi="Times New Roman" w:eastAsia="Times New Roman"/>
          <w:b w:val="0"/>
          <w:i w:val="0"/>
          <w:sz w:val="26"/>
        </w:rPr>
        <w:t>[MỞ ĐẦU](#mở-đầu)</w:t>
      </w:r>
    </w:p>
    <w:p>
      <w:pPr>
        <w:pStyle w:val="ListBullet"/>
        <w:ind w:firstLine="0"/>
        <w:jc w:val="both"/>
      </w:pPr>
      <w:r>
        <w:rPr>
          <w:rFonts w:ascii="Times New Roman" w:hAnsi="Times New Roman" w:eastAsia="Times New Roman"/>
          <w:b w:val="0"/>
          <w:i w:val="0"/>
          <w:sz w:val="26"/>
        </w:rPr>
        <w:t>[1. Lý do chọn đề tài](#1-lý-do-chọn-đề-tài)</w:t>
      </w:r>
    </w:p>
    <w:p>
      <w:pPr>
        <w:pStyle w:val="ListBullet"/>
        <w:ind w:firstLine="0"/>
        <w:jc w:val="both"/>
      </w:pPr>
      <w:r>
        <w:rPr>
          <w:rFonts w:ascii="Times New Roman" w:hAnsi="Times New Roman" w:eastAsia="Times New Roman"/>
          <w:b w:val="0"/>
          <w:i w:val="0"/>
          <w:sz w:val="26"/>
        </w:rPr>
        <w:t>[2. Mục tiêu nghiên cứu](#2-mục-tiêu-nghiên-cứu)</w:t>
      </w:r>
    </w:p>
    <w:p>
      <w:pPr>
        <w:pStyle w:val="ListBullet"/>
        <w:ind w:firstLine="0"/>
        <w:jc w:val="both"/>
      </w:pPr>
      <w:r>
        <w:rPr>
          <w:rFonts w:ascii="Times New Roman" w:hAnsi="Times New Roman" w:eastAsia="Times New Roman"/>
          <w:b w:val="0"/>
          <w:i w:val="0"/>
          <w:sz w:val="26"/>
        </w:rPr>
        <w:t>[3. Đối tượng nghiên cứu](#3-đối-tượng-nghiên-cứu)</w:t>
      </w:r>
    </w:p>
    <w:p>
      <w:pPr>
        <w:pStyle w:val="ListBullet"/>
        <w:ind w:firstLine="0"/>
        <w:jc w:val="both"/>
      </w:pPr>
      <w:r>
        <w:rPr>
          <w:rFonts w:ascii="Times New Roman" w:hAnsi="Times New Roman" w:eastAsia="Times New Roman"/>
          <w:b w:val="0"/>
          <w:i w:val="0"/>
          <w:sz w:val="26"/>
        </w:rPr>
        <w:t>[4. Phạm vi nghiên cứu](#4-phạm-vi-nghiên-cứu)</w:t>
      </w:r>
    </w:p>
    <w:p>
      <w:pPr>
        <w:pStyle w:val="ListBullet"/>
        <w:ind w:firstLine="0"/>
        <w:jc w:val="both"/>
      </w:pPr>
      <w:r>
        <w:rPr>
          <w:rFonts w:ascii="Times New Roman" w:hAnsi="Times New Roman" w:eastAsia="Times New Roman"/>
          <w:b w:val="0"/>
          <w:i w:val="0"/>
          <w:sz w:val="26"/>
        </w:rPr>
        <w:t>[5. Phương pháp nghiên cứu](#5-phương-pháp-nghiên-cứu)</w:t>
      </w:r>
    </w:p>
    <w:p>
      <w:pPr>
        <w:pStyle w:val="ListBullet"/>
        <w:ind w:firstLine="0"/>
        <w:jc w:val="both"/>
      </w:pPr>
      <w:r>
        <w:rPr>
          <w:rFonts w:ascii="Times New Roman" w:hAnsi="Times New Roman" w:eastAsia="Times New Roman"/>
          <w:b w:val="0"/>
          <w:i w:val="0"/>
          <w:sz w:val="26"/>
        </w:rPr>
        <w:t>[CHƯƠNG 1: CƠ SỞ LÝ LUẬN VỀ VI PHẠM PHÁP LUẬT VÀ CẤU THÀNH VI PHẠM PHÁP LUẬT](#chương-1-cơ-sở-lý-luận-về-vi-phạm-pháp-luật-và-cấu-thành-vi-phạm-pháp-luật)</w:t>
      </w:r>
    </w:p>
    <w:p>
      <w:pPr>
        <w:pStyle w:val="ListBullet"/>
        <w:ind w:firstLine="0"/>
        <w:jc w:val="both"/>
      </w:pPr>
      <w:r>
        <w:rPr>
          <w:rFonts w:ascii="Times New Roman" w:hAnsi="Times New Roman" w:eastAsia="Times New Roman"/>
          <w:b w:val="0"/>
          <w:i w:val="0"/>
          <w:sz w:val="26"/>
        </w:rPr>
        <w:t>[1.1. Khái niệm vi phạm pháp luật](#11-khái-niệm-vi-phạm-pháp-luật)</w:t>
      </w:r>
    </w:p>
    <w:p>
      <w:pPr>
        <w:pStyle w:val="ListBullet"/>
        <w:ind w:firstLine="0"/>
        <w:jc w:val="both"/>
      </w:pPr>
      <w:r>
        <w:rPr>
          <w:rFonts w:ascii="Times New Roman" w:hAnsi="Times New Roman" w:eastAsia="Times New Roman"/>
          <w:b w:val="0"/>
          <w:i w:val="0"/>
          <w:sz w:val="26"/>
        </w:rPr>
        <w:t>[1.2. Các dấu hiệu cơ bản của vi phạm pháp luật](#12-các-dấu-hiệu-cơ-bản-của-vi-phạm-pháp-luật)</w:t>
      </w:r>
    </w:p>
    <w:p>
      <w:pPr>
        <w:pStyle w:val="ListBullet"/>
        <w:ind w:firstLine="0"/>
        <w:jc w:val="both"/>
      </w:pPr>
      <w:r>
        <w:rPr>
          <w:rFonts w:ascii="Times New Roman" w:hAnsi="Times New Roman" w:eastAsia="Times New Roman"/>
          <w:b w:val="0"/>
          <w:i w:val="0"/>
          <w:sz w:val="26"/>
        </w:rPr>
        <w:t>[1.3. Khái niệm và ý nghĩa của cấu thành vi phạm pháp luật](#13-khái-niệm-và-ý-nghĩa-của-cấu-thành-vi-phạm-pháp-luật)</w:t>
      </w:r>
    </w:p>
    <w:p>
      <w:pPr>
        <w:pStyle w:val="ListBullet"/>
        <w:ind w:firstLine="0"/>
        <w:jc w:val="both"/>
      </w:pPr>
      <w:r>
        <w:rPr>
          <w:rFonts w:ascii="Times New Roman" w:hAnsi="Times New Roman" w:eastAsia="Times New Roman"/>
          <w:b w:val="0"/>
          <w:i w:val="0"/>
          <w:sz w:val="26"/>
        </w:rPr>
        <w:t>[1.4. Khách thể của vi phạm pháp luật](#14-khách-thể-của-vi-phạm-pháp-luật)</w:t>
      </w:r>
    </w:p>
    <w:p>
      <w:pPr>
        <w:pStyle w:val="ListBullet"/>
        <w:ind w:firstLine="0"/>
        <w:jc w:val="both"/>
      </w:pPr>
      <w:r>
        <w:rPr>
          <w:rFonts w:ascii="Times New Roman" w:hAnsi="Times New Roman" w:eastAsia="Times New Roman"/>
          <w:b w:val="0"/>
          <w:i w:val="0"/>
          <w:sz w:val="26"/>
        </w:rPr>
        <w:t>[1.5. Mặt khách quan của vi phạm pháp luật](#15-mặt-khách-quan-của-vi-phạm-pháp-luật)</w:t>
      </w:r>
    </w:p>
    <w:p>
      <w:pPr>
        <w:pStyle w:val="ListBullet"/>
        <w:ind w:firstLine="0"/>
        <w:jc w:val="both"/>
      </w:pPr>
      <w:r>
        <w:rPr>
          <w:rFonts w:ascii="Times New Roman" w:hAnsi="Times New Roman" w:eastAsia="Times New Roman"/>
          <w:b w:val="0"/>
          <w:i w:val="0"/>
          <w:sz w:val="26"/>
        </w:rPr>
        <w:t>[1.6. Chủ thể của vi phạm pháp luật](#16-chủ-thể-của-vi-phạm-pháp-luật)</w:t>
      </w:r>
    </w:p>
    <w:p>
      <w:pPr>
        <w:pStyle w:val="ListBullet"/>
        <w:ind w:firstLine="0"/>
        <w:jc w:val="both"/>
      </w:pPr>
      <w:r>
        <w:rPr>
          <w:rFonts w:ascii="Times New Roman" w:hAnsi="Times New Roman" w:eastAsia="Times New Roman"/>
          <w:b w:val="0"/>
          <w:i w:val="0"/>
          <w:sz w:val="26"/>
        </w:rPr>
        <w:t>[1.7. Mặt chủ quan của vi phạm pháp luật](#17-mặt-chủ-quan-của-vi-phạm-pháp-luật)</w:t>
      </w:r>
    </w:p>
    <w:p>
      <w:pPr>
        <w:pStyle w:val="ListBullet"/>
        <w:ind w:firstLine="0"/>
        <w:jc w:val="both"/>
      </w:pPr>
      <w:r>
        <w:rPr>
          <w:rFonts w:ascii="Times New Roman" w:hAnsi="Times New Roman" w:eastAsia="Times New Roman"/>
          <w:b w:val="0"/>
          <w:i w:val="0"/>
          <w:sz w:val="26"/>
        </w:rPr>
        <w:t>[CHƯƠNG 2: KHÁI QUÁT VỤ VIỆC QUẢNG CÁO GIAN DỐI SẢN PHẨM ĐÔNG Y TRÊN MẠNG XÃ HỘI](#chương-2-khái-quát-vụ-việc-quảng-cáo-gian-dối-sản-phẩm-đông-y-trên-mạng-xã-hội)</w:t>
      </w:r>
    </w:p>
    <w:p>
      <w:pPr>
        <w:pStyle w:val="ListBullet"/>
        <w:ind w:firstLine="0"/>
        <w:jc w:val="both"/>
      </w:pPr>
      <w:r>
        <w:rPr>
          <w:rFonts w:ascii="Times New Roman" w:hAnsi="Times New Roman" w:eastAsia="Times New Roman"/>
          <w:b w:val="0"/>
          <w:i w:val="0"/>
          <w:sz w:val="26"/>
        </w:rPr>
        <w:t>[2.1. Nguồn gốc thông tin và bối cảnh vụ việc](#21-nguồn-gốc-thông-tin-và-bối-cảnh-vụ-việc)</w:t>
      </w:r>
    </w:p>
    <w:p>
      <w:pPr>
        <w:pStyle w:val="ListBullet"/>
        <w:ind w:firstLine="0"/>
        <w:jc w:val="both"/>
      </w:pPr>
      <w:r>
        <w:rPr>
          <w:rFonts w:ascii="Times New Roman" w:hAnsi="Times New Roman" w:eastAsia="Times New Roman"/>
          <w:b w:val="0"/>
          <w:i w:val="0"/>
          <w:sz w:val="26"/>
        </w:rPr>
        <w:t>[2.2. Phương thức và diễn biến hành vi theo thông tin điều tra ban đầu](#22-phương-thức-và-diễn-biến-hành-vi-theo-thông-tin-điều-tra-ban-đầu)</w:t>
      </w:r>
    </w:p>
    <w:p>
      <w:pPr>
        <w:pStyle w:val="ListBullet"/>
        <w:ind w:firstLine="0"/>
        <w:jc w:val="both"/>
      </w:pPr>
      <w:r>
        <w:rPr>
          <w:rFonts w:ascii="Times New Roman" w:hAnsi="Times New Roman" w:eastAsia="Times New Roman"/>
          <w:b w:val="0"/>
          <w:i w:val="0"/>
          <w:sz w:val="26"/>
        </w:rPr>
        <w:t>[2.3. Các chủ thể liên quan và phân công vai trò](#23-các-chủ-thể-liên-quan-và-phân-công-vai-trò)</w:t>
      </w:r>
    </w:p>
    <w:p>
      <w:pPr>
        <w:pStyle w:val="ListBullet"/>
        <w:ind w:firstLine="0"/>
        <w:jc w:val="both"/>
      </w:pPr>
      <w:r>
        <w:rPr>
          <w:rFonts w:ascii="Times New Roman" w:hAnsi="Times New Roman" w:eastAsia="Times New Roman"/>
          <w:b w:val="0"/>
          <w:i w:val="0"/>
          <w:sz w:val="26"/>
        </w:rPr>
        <w:t>[2.4. Trạng thái tố tụng hiện tại](#24-trạng-thái-tố-tụng-hiện-tại)</w:t>
      </w:r>
    </w:p>
    <w:p>
      <w:pPr>
        <w:pStyle w:val="ListBullet"/>
        <w:ind w:firstLine="0"/>
        <w:jc w:val="both"/>
      </w:pPr>
      <w:r>
        <w:rPr>
          <w:rFonts w:ascii="Times New Roman" w:hAnsi="Times New Roman" w:eastAsia="Times New Roman"/>
          <w:b w:val="0"/>
          <w:i w:val="0"/>
          <w:sz w:val="26"/>
        </w:rPr>
        <w:t>[2.5. Bảng tổng hợp dữ kiện và dòng thời gian vụ việc](#25-bảng-tổng-hợp-dữ-kiện-và-dòng-thời-gian-vụ-việc)</w:t>
      </w:r>
    </w:p>
    <w:p>
      <w:pPr>
        <w:pStyle w:val="ListBullet"/>
        <w:ind w:firstLine="0"/>
        <w:jc w:val="both"/>
      </w:pPr>
      <w:r>
        <w:rPr>
          <w:rFonts w:ascii="Times New Roman" w:hAnsi="Times New Roman" w:eastAsia="Times New Roman"/>
          <w:b w:val="0"/>
          <w:i w:val="0"/>
          <w:sz w:val="26"/>
        </w:rPr>
        <w:t>[CHƯƠNG 3: PHÂN TÍCH CÁC YẾU TỐ CẤU THÀNH VI PHẠM PHÁP LUẬT TRONG VỤ VIỆC](#chương-3-phân-tích-các-yếu-tố-cấu-thành-vi-phạm-pháp-luật-trong-vụ-việc)</w:t>
      </w:r>
    </w:p>
    <w:p>
      <w:pPr>
        <w:pStyle w:val="ListBullet"/>
        <w:ind w:firstLine="0"/>
        <w:jc w:val="both"/>
      </w:pPr>
      <w:r>
        <w:rPr>
          <w:rFonts w:ascii="Times New Roman" w:hAnsi="Times New Roman" w:eastAsia="Times New Roman"/>
          <w:b w:val="0"/>
          <w:i w:val="0"/>
          <w:sz w:val="26"/>
        </w:rPr>
        <w:t>[3.1. Phân tích yếu tố Khách thể của vi phạm pháp luật](#31-phân-tích-yếu-tố-khách-thể-của-vi-phạm-pháp-luật)</w:t>
      </w:r>
    </w:p>
    <w:p>
      <w:pPr>
        <w:pStyle w:val="ListBullet"/>
        <w:ind w:firstLine="0"/>
        <w:jc w:val="both"/>
      </w:pPr>
      <w:r>
        <w:rPr>
          <w:rFonts w:ascii="Times New Roman" w:hAnsi="Times New Roman" w:eastAsia="Times New Roman"/>
          <w:b w:val="0"/>
          <w:i w:val="0"/>
          <w:sz w:val="26"/>
        </w:rPr>
        <w:t>[3.2. Phân tích yếu tố Mặt khách quan của vi phạm pháp luật](#32-phân-tích-yếu-tố-mặt-khách-quan-của-vi-phạm-pháp-luật)</w:t>
      </w:r>
    </w:p>
    <w:p>
      <w:pPr>
        <w:pStyle w:val="ListBullet"/>
        <w:ind w:firstLine="0"/>
        <w:jc w:val="both"/>
      </w:pPr>
      <w:r>
        <w:rPr>
          <w:rFonts w:ascii="Times New Roman" w:hAnsi="Times New Roman" w:eastAsia="Times New Roman"/>
          <w:b w:val="0"/>
          <w:i w:val="0"/>
          <w:sz w:val="26"/>
        </w:rPr>
        <w:t>[3.3. Phân tích yếu tố Chủ thể của vi phạm pháp luật](#33-phân-tích-yếu-tố-chủ-thể-của-vi-phạm-pháp-luật)</w:t>
      </w:r>
    </w:p>
    <w:p>
      <w:pPr>
        <w:pStyle w:val="ListBullet"/>
        <w:ind w:firstLine="0"/>
        <w:jc w:val="both"/>
      </w:pPr>
      <w:r>
        <w:rPr>
          <w:rFonts w:ascii="Times New Roman" w:hAnsi="Times New Roman" w:eastAsia="Times New Roman"/>
          <w:b w:val="0"/>
          <w:i w:val="0"/>
          <w:sz w:val="26"/>
        </w:rPr>
        <w:t>[3.4. Phân tích yếu tố Mặt chủ quan của vi phạm pháp luật](#34-phân-tích-yếu-tố-mặt-chủ-quan-của-vi-phạm-pháp-luật)</w:t>
      </w:r>
    </w:p>
    <w:p>
      <w:pPr>
        <w:pStyle w:val="ListBullet"/>
        <w:ind w:firstLine="0"/>
        <w:jc w:val="both"/>
      </w:pPr>
      <w:r>
        <w:rPr>
          <w:rFonts w:ascii="Times New Roman" w:hAnsi="Times New Roman" w:eastAsia="Times New Roman"/>
          <w:b w:val="0"/>
          <w:i w:val="0"/>
          <w:sz w:val="26"/>
        </w:rPr>
        <w:t>[3.5. Bảng tổng hợp bốn yếu tố cấu thành vi phạm pháp luật](#35-bảng-tổng-hợp-bốn-yếu-tố-cấu-thành-vi-phạm-pháp-luật)</w:t>
      </w:r>
    </w:p>
    <w:p>
      <w:pPr>
        <w:pStyle w:val="ListBullet"/>
        <w:ind w:firstLine="0"/>
        <w:jc w:val="both"/>
      </w:pPr>
      <w:r>
        <w:rPr>
          <w:rFonts w:ascii="Times New Roman" w:hAnsi="Times New Roman" w:eastAsia="Times New Roman"/>
          <w:b w:val="0"/>
          <w:i w:val="0"/>
          <w:sz w:val="26"/>
        </w:rPr>
        <w:t>[CHƯƠNG 4: NHẬN XÉT, BÀI HỌC KINH NGHIỆM VÀ KIẾN NGHỊ](#chương-4-nhận-xét-bài-học-kinh-nghiệm-và-kiến-nghị)</w:t>
      </w:r>
    </w:p>
    <w:p>
      <w:pPr>
        <w:pStyle w:val="ListBullet"/>
        <w:ind w:firstLine="0"/>
        <w:jc w:val="both"/>
      </w:pPr>
      <w:r>
        <w:rPr>
          <w:rFonts w:ascii="Times New Roman" w:hAnsi="Times New Roman" w:eastAsia="Times New Roman"/>
          <w:b w:val="0"/>
          <w:i w:val="0"/>
          <w:sz w:val="26"/>
        </w:rPr>
        <w:t>[4.1. Nhận xét đánh giá tổng quan về tính chất vi phạm trên không gian mạng](#41-nhận-xét-đánh-giá-tổng-quan-về-tính-chất-vi-phạm-trên-không-gian-mạng)</w:t>
      </w:r>
    </w:p>
    <w:p>
      <w:pPr>
        <w:pStyle w:val="ListBullet"/>
        <w:ind w:firstLine="0"/>
        <w:jc w:val="both"/>
      </w:pPr>
      <w:r>
        <w:rPr>
          <w:rFonts w:ascii="Times New Roman" w:hAnsi="Times New Roman" w:eastAsia="Times New Roman"/>
          <w:b w:val="0"/>
          <w:i w:val="0"/>
          <w:sz w:val="26"/>
        </w:rPr>
        <w:t>[4.2. Bài học kinh nghiệm đối với hoạt động kinh doanh trực tuyến](#42-bài-học-kinh-nghiệm-đối-với-hoạt-động-kinh-doanh-trực-tuyến)</w:t>
      </w:r>
    </w:p>
    <w:p>
      <w:pPr>
        <w:pStyle w:val="ListBullet"/>
        <w:ind w:firstLine="0"/>
        <w:jc w:val="both"/>
      </w:pPr>
      <w:r>
        <w:rPr>
          <w:rFonts w:ascii="Times New Roman" w:hAnsi="Times New Roman" w:eastAsia="Times New Roman"/>
          <w:b w:val="0"/>
          <w:i w:val="0"/>
          <w:sz w:val="26"/>
        </w:rPr>
        <w:t>[4.3. Bài học cảnh giác và tự bảo vệ đối với người tiêu dùng](#43-bài-học-cảnh-giác-và-tự-bảo-vệ-đối-với-người-tiêu-dùng)</w:t>
      </w:r>
    </w:p>
    <w:p>
      <w:pPr>
        <w:pStyle w:val="ListBullet"/>
        <w:ind w:firstLine="0"/>
        <w:jc w:val="both"/>
      </w:pPr>
      <w:r>
        <w:rPr>
          <w:rFonts w:ascii="Times New Roman" w:hAnsi="Times New Roman" w:eastAsia="Times New Roman"/>
          <w:b w:val="0"/>
          <w:i w:val="0"/>
          <w:sz w:val="26"/>
        </w:rPr>
        <w:t>[4.4. Bài học nâng cao nhận thức pháp luật và đạo đức số cho sinh viên CNTT](#44-bài-học-nâng-cao-nhận-thức-pháp-luật-và-đạo-đức-số-cho-sinh-viên-cntt)</w:t>
      </w:r>
    </w:p>
    <w:p>
      <w:pPr>
        <w:pStyle w:val="ListBullet"/>
        <w:ind w:firstLine="0"/>
        <w:jc w:val="both"/>
      </w:pPr>
      <w:r>
        <w:rPr>
          <w:rFonts w:ascii="Times New Roman" w:hAnsi="Times New Roman" w:eastAsia="Times New Roman"/>
          <w:b w:val="0"/>
          <w:i w:val="0"/>
          <w:sz w:val="26"/>
        </w:rPr>
        <w:t>[4.5. Một số kiến nghị thực tiễn nhằm hoàn thiện cơ chế quản lý](#45-một-số-kiến-nghị-thực-tiễn-nhằm-hoàn-thiện-cơ-chế-quản-lý)</w:t>
      </w:r>
    </w:p>
    <w:p>
      <w:pPr>
        <w:pStyle w:val="ListBullet"/>
        <w:ind w:firstLine="0"/>
        <w:jc w:val="both"/>
      </w:pPr>
      <w:r>
        <w:rPr>
          <w:rFonts w:ascii="Times New Roman" w:hAnsi="Times New Roman" w:eastAsia="Times New Roman"/>
          <w:b w:val="0"/>
          <w:i w:val="0"/>
          <w:sz w:val="26"/>
        </w:rPr>
        <w:t>[KẾT LUẬN](#kết-luận)</w:t>
      </w:r>
    </w:p>
    <w:p>
      <w:pPr>
        <w:pStyle w:val="ListBullet"/>
        <w:ind w:firstLine="0"/>
        <w:jc w:val="both"/>
      </w:pPr>
      <w:r>
        <w:rPr>
          <w:rFonts w:ascii="Times New Roman" w:hAnsi="Times New Roman" w:eastAsia="Times New Roman"/>
          <w:b w:val="0"/>
          <w:i w:val="0"/>
          <w:sz w:val="26"/>
        </w:rPr>
        <w:t>[TÀI LIỆU THAM KHẢO](#tài-liệu-tham-khảo)</w:t>
      </w:r>
    </w:p>
    <w:p>
      <w:pPr>
        <w:pStyle w:val="Heading1"/>
        <w:ind w:firstLine="0"/>
        <w:jc w:val="center"/>
      </w:pPr>
      <w:r>
        <w:rPr>
          <w:rFonts w:ascii="Times New Roman" w:hAnsi="Times New Roman" w:eastAsia="Times New Roman"/>
          <w:b w:val="0"/>
          <w:i w:val="0"/>
          <w:sz w:val="32"/>
        </w:rPr>
        <w:t>MỞ ĐẦU</w:t>
      </w:r>
    </w:p>
    <w:p>
      <w:pPr>
        <w:pStyle w:val="Heading2"/>
        <w:ind w:firstLine="0"/>
        <w:jc w:val="center"/>
      </w:pPr>
      <w:r>
        <w:rPr>
          <w:rFonts w:ascii="Times New Roman" w:hAnsi="Times New Roman" w:eastAsia="Times New Roman"/>
          <w:b w:val="0"/>
          <w:i w:val="0"/>
          <w:sz w:val="30"/>
        </w:rPr>
        <w:t>1. Lý do chọn đề tài</w:t>
      </w:r>
    </w:p>
    <w:p>
      <w:pPr>
        <w:ind w:firstLine="709"/>
        <w:jc w:val="both"/>
      </w:pPr>
      <w:r>
        <w:rPr>
          <w:rFonts w:ascii="Times New Roman" w:hAnsi="Times New Roman" w:eastAsia="Times New Roman"/>
          <w:b w:val="0"/>
          <w:i w:val="0"/>
          <w:sz w:val="26"/>
        </w:rPr>
        <w:t>Trong sự phát triển nhanh chóng của nền kinh tế số và mạng xã hội tại Việt Nam, tiếp thị và phân phối hàng hóa trực tuyến trở thành phương thức phổ biến. Tuy nhiên, cùng với những tiện ích đó, tình trạng tiếp thị sai lệch, cung cấp thông tin không trung thực và lừa dối người tiêu dùng trên không gian mạng cũng diễn biến phức tạp. Đặc biệt, với sản phẩm Đông y được giới thiệu trên mạng xã hội, hành vi cắt ghép hình ảnh người nổi tiếng để thổi phồng công dụng có thể đặt ra các vấn đề pháp lý đáng lưu tâm.</w:t>
      </w:r>
    </w:p>
    <w:p>
      <w:pPr>
        <w:ind w:firstLine="709"/>
        <w:jc w:val="both"/>
      </w:pPr>
      <w:r>
        <w:rPr>
          <w:rFonts w:ascii="Times New Roman" w:hAnsi="Times New Roman" w:eastAsia="Times New Roman"/>
          <w:b w:val="0"/>
          <w:i w:val="0"/>
          <w:sz w:val="26"/>
        </w:rPr>
        <w:t>Vụ việc Cơ quan Cảnh sát điều tra Công an tỉnh Phú Thọ ra quyết định khởi tố vụ án, khởi tố 21 bị can liên quan đến đường dây quảng cáo gian dối sản phẩm Đông y mang nhãn hiệu "Xương khớp bà Sáu" trên không gian mạng vào tháng 8/2026 là một trường hợp thực tiễn điển hình. Dưới góc độ môn học Pháp luật đại cương, vụ việc thể hiện rõ các dấu hiệu của hành vi vi phạm pháp luật có tổ chức trên môi trường trực tuyến, xâm phạm trật tự quản lý thương mại và quyền lợi của người tiêu dùng.</w:t>
      </w:r>
    </w:p>
    <w:p>
      <w:pPr>
        <w:ind w:firstLine="709"/>
        <w:jc w:val="both"/>
      </w:pPr>
      <w:r>
        <w:rPr>
          <w:rFonts w:ascii="Times New Roman" w:hAnsi="Times New Roman" w:eastAsia="Times New Roman"/>
          <w:b w:val="0"/>
          <w:i w:val="0"/>
          <w:sz w:val="26"/>
        </w:rPr>
        <w:t>Việc lựa chọn đề tài này giúp sinh viên củng cố vững chắc tri thức lý luận về cấu thành vi phạm pháp luật (Khách thể, Mặt khách quan, Chủ thể, Mặt chủ quan), rèn luyện kỹ năng phân tích hành vi dựa trên các dữ kiện công khai chính thức, đồng thời nâng cao ý thức tuân thủ pháp luật và đạo đức nghề nghiệp trong thời đại số đối với sinh viên Trường Đại học Công nghệ Thông tin – ĐHQG-HCM.</w:t>
      </w:r>
    </w:p>
    <w:p>
      <w:pPr>
        <w:pStyle w:val="Heading2"/>
        <w:ind w:firstLine="0"/>
        <w:jc w:val="center"/>
      </w:pPr>
      <w:r>
        <w:rPr>
          <w:rFonts w:ascii="Times New Roman" w:hAnsi="Times New Roman" w:eastAsia="Times New Roman"/>
          <w:b w:val="0"/>
          <w:i w:val="0"/>
          <w:sz w:val="30"/>
        </w:rPr>
        <w:t>2. Mục tiêu nghiên cứu</w:t>
      </w:r>
    </w:p>
    <w:p>
      <w:pPr>
        <w:pStyle w:val="ListBullet"/>
        <w:ind w:firstLine="0"/>
        <w:jc w:val="both"/>
      </w:pPr>
      <w:r>
        <w:rPr>
          <w:rFonts w:ascii="Times New Roman" w:hAnsi="Times New Roman" w:eastAsia="Times New Roman"/>
          <w:b w:val="0"/>
          <w:i w:val="0"/>
          <w:sz w:val="26"/>
        </w:rPr>
        <w:t>Hệ thống hóa các kiến thức lý luận nền tảng về vi phạm pháp luật và bốn yếu tố cấu thành vi phạm pháp luật theo chương trình môn học Pháp luật đại cương.</w:t>
      </w:r>
    </w:p>
    <w:p>
      <w:pPr>
        <w:pStyle w:val="ListBullet"/>
        <w:ind w:firstLine="0"/>
        <w:jc w:val="both"/>
      </w:pPr>
      <w:r>
        <w:rPr>
          <w:rFonts w:ascii="Times New Roman" w:hAnsi="Times New Roman" w:eastAsia="Times New Roman"/>
          <w:b w:val="0"/>
          <w:i w:val="0"/>
          <w:sz w:val="26"/>
        </w:rPr>
        <w:t>Thu thập, tổng hợp và đối chiếu các dữ kiện thực tế đã được cơ quan điều tra và báo chí chính thống công bố liên quan đến vụ việc tại Phú Thọ.</w:t>
      </w:r>
    </w:p>
    <w:p>
      <w:pPr>
        <w:pStyle w:val="ListBullet"/>
        <w:ind w:firstLine="0"/>
        <w:jc w:val="both"/>
      </w:pPr>
      <w:r>
        <w:rPr>
          <w:rFonts w:ascii="Times New Roman" w:hAnsi="Times New Roman" w:eastAsia="Times New Roman"/>
          <w:b w:val="0"/>
          <w:i w:val="0"/>
          <w:sz w:val="26"/>
        </w:rPr>
        <w:t>Vận dụng mô hình bốn yếu tố cấu thành vi phạm pháp luật để phân tích một cách có hệ thống, khách quan bản chất pháp lý của hành vi.</w:t>
      </w:r>
    </w:p>
    <w:p>
      <w:pPr>
        <w:pStyle w:val="ListBullet"/>
        <w:ind w:firstLine="0"/>
        <w:jc w:val="both"/>
      </w:pPr>
      <w:r>
        <w:rPr>
          <w:rFonts w:ascii="Times New Roman" w:hAnsi="Times New Roman" w:eastAsia="Times New Roman"/>
          <w:b w:val="0"/>
          <w:i w:val="0"/>
          <w:sz w:val="26"/>
        </w:rPr>
        <w:t>Rút ra những bài học kinh nghiệm thiết thực cho người kinh doanh, người tiêu dùng và sinh viên, từ đó đề xuất một số kiến nghị góp phần nâng cao hiệu quả phòng ngừa vi phạm.</w:t>
      </w:r>
    </w:p>
    <w:p>
      <w:pPr>
        <w:pStyle w:val="Heading2"/>
        <w:ind w:firstLine="0"/>
        <w:jc w:val="center"/>
      </w:pPr>
      <w:r>
        <w:rPr>
          <w:rFonts w:ascii="Times New Roman" w:hAnsi="Times New Roman" w:eastAsia="Times New Roman"/>
          <w:b w:val="0"/>
          <w:i w:val="0"/>
          <w:sz w:val="30"/>
        </w:rPr>
        <w:t>3. Đối tượng nghiên cứu</w:t>
      </w:r>
    </w:p>
    <w:p>
      <w:pPr>
        <w:ind w:firstLine="709"/>
        <w:jc w:val="both"/>
      </w:pPr>
      <w:r>
        <w:rPr>
          <w:rFonts w:ascii="Times New Roman" w:hAnsi="Times New Roman" w:eastAsia="Times New Roman"/>
          <w:b w:val="0"/>
          <w:i w:val="0"/>
          <w:sz w:val="26"/>
        </w:rPr>
        <w:t>Đối tượng nghiên cứu của tiểu luận là các yếu tố cấu thành vi phạm pháp luật trong vụ việc khởi tố đường dây quảng cáo gian dối sản phẩm Đông y "Xương khớp bà Sáu" trên mạng xã hội theo thông tin công bố của cơ quan chức năng tỉnh Phú Thọ.</w:t>
      </w:r>
    </w:p>
    <w:p>
      <w:pPr>
        <w:pStyle w:val="Heading2"/>
        <w:ind w:firstLine="0"/>
        <w:jc w:val="center"/>
      </w:pPr>
      <w:r>
        <w:rPr>
          <w:rFonts w:ascii="Times New Roman" w:hAnsi="Times New Roman" w:eastAsia="Times New Roman"/>
          <w:b w:val="0"/>
          <w:i w:val="0"/>
          <w:sz w:val="30"/>
        </w:rPr>
        <w:t>4. Phạm vi nghiên cứu</w:t>
      </w:r>
    </w:p>
    <w:p>
      <w:pPr>
        <w:pStyle w:val="ListBullet"/>
        <w:ind w:firstLine="0"/>
        <w:jc w:val="both"/>
      </w:pPr>
      <w:r>
        <w:rPr>
          <w:rFonts w:ascii="Times New Roman" w:hAnsi="Times New Roman" w:eastAsia="Times New Roman"/>
          <w:b/>
          <w:i w:val="0"/>
          <w:sz w:val="26"/>
        </w:rPr>
        <w:t>Phạm vi nội dung:</w:t>
      </w:r>
      <w:r>
        <w:rPr>
          <w:rFonts w:ascii="Times New Roman" w:hAnsi="Times New Roman" w:eastAsia="Times New Roman"/>
          <w:b w:val="0"/>
          <w:i w:val="0"/>
          <w:sz w:val="26"/>
        </w:rPr>
        <w:t xml:space="preserve"> Tập trung vào lý luận cấu thành vi phạm pháp luật của môn học Pháp luật đại cương. Các quy định pháp luật hiện hành như Bộ luật Hình sự năm 2015 (sửa đổi, bổ sung năm 2017), Luật Quảng cáo năm 2012 (sửa đổi, bổ sung năm 2018 và năm 2025), Luật Bảo vệ quyền lợi người tiêu dùng năm 2023 và Bộ luật Dân sự năm 2015 được sử dụng làm cơ sở pháp lý tham chiếu để đối chiếu tính trái pháp luật của hành vi.</w:t>
      </w:r>
    </w:p>
    <w:p>
      <w:pPr>
        <w:pStyle w:val="ListBullet"/>
        <w:ind w:firstLine="0"/>
        <w:jc w:val="both"/>
      </w:pPr>
      <w:r>
        <w:rPr>
          <w:rFonts w:ascii="Times New Roman" w:hAnsi="Times New Roman" w:eastAsia="Times New Roman"/>
          <w:b/>
          <w:i w:val="0"/>
          <w:sz w:val="26"/>
        </w:rPr>
        <w:t>Phạm vi dữ liệu:</w:t>
      </w:r>
      <w:r>
        <w:rPr>
          <w:rFonts w:ascii="Times New Roman" w:hAnsi="Times New Roman" w:eastAsia="Times New Roman"/>
          <w:b w:val="0"/>
          <w:i w:val="0"/>
          <w:sz w:val="26"/>
        </w:rPr>
        <w:t xml:space="preserve"> Dữ liệu vụ việc được giới hạn ở bài viết của Báo Điện tử Chính phủ đăng lúc 14:47 ngày 10/8/2026, dẫn thông tin của Công an tỉnh Phú Thọ; các nhận định ngoài phạm vi dữ kiện công bố được trình bày có điều kiện và không thay thế kết luận tố tụng [8].</w:t>
      </w:r>
    </w:p>
    <w:p>
      <w:pPr>
        <w:pStyle w:val="ListBullet"/>
        <w:ind w:firstLine="0"/>
        <w:jc w:val="both"/>
      </w:pPr>
      <w:r>
        <w:rPr>
          <w:rFonts w:ascii="Times New Roman" w:hAnsi="Times New Roman" w:eastAsia="Times New Roman"/>
          <w:b/>
          <w:i w:val="0"/>
          <w:sz w:val="26"/>
        </w:rPr>
        <w:t>Nguyên tắc tôn trọng tố tụng:</w:t>
      </w:r>
      <w:r>
        <w:rPr>
          <w:rFonts w:ascii="Times New Roman" w:hAnsi="Times New Roman" w:eastAsia="Times New Roman"/>
          <w:b w:val="0"/>
          <w:i w:val="0"/>
          <w:sz w:val="26"/>
        </w:rPr>
        <w:t xml:space="preserve"> Do vụ án đang trong giai đoạn điều tra mở rộng và chưa có bản án có hiệu lực pháp luật của Tòa án nhân dân có thẩm quyền, bài tiểu luận tiếp cận vấn đề hoàn toàn dưới góc độ nghiên cứu học thuật thuần túy, dựa trên các dữ kiện cáo buộc ban đầu và tuân thủ chặt chẽ nguyên tắc suy đoán vô tội.</w:t>
      </w:r>
    </w:p>
    <w:p>
      <w:pPr>
        <w:pStyle w:val="Heading2"/>
        <w:ind w:firstLine="0"/>
        <w:jc w:val="center"/>
      </w:pPr>
      <w:r>
        <w:rPr>
          <w:rFonts w:ascii="Times New Roman" w:hAnsi="Times New Roman" w:eastAsia="Times New Roman"/>
          <w:b w:val="0"/>
          <w:i w:val="0"/>
          <w:sz w:val="30"/>
        </w:rPr>
        <w:t>5. Phương pháp nghiên cứu</w:t>
      </w:r>
    </w:p>
    <w:p>
      <w:pPr>
        <w:ind w:firstLine="709"/>
        <w:jc w:val="both"/>
      </w:pPr>
      <w:r>
        <w:rPr>
          <w:rFonts w:ascii="Times New Roman" w:hAnsi="Times New Roman" w:eastAsia="Times New Roman"/>
          <w:b w:val="0"/>
          <w:i w:val="0"/>
          <w:sz w:val="26"/>
        </w:rPr>
        <w:t>Tiểu luận sử dụng các phương pháp nghiên cứu khoa học xã hội và pháp lý cơ bản:</w:t>
      </w:r>
    </w:p>
    <w:p>
      <w:pPr>
        <w:pStyle w:val="ListBullet"/>
        <w:ind w:firstLine="0"/>
        <w:jc w:val="both"/>
      </w:pPr>
      <w:r>
        <w:rPr>
          <w:rFonts w:ascii="Times New Roman" w:hAnsi="Times New Roman" w:eastAsia="Times New Roman"/>
          <w:b/>
          <w:i w:val="0"/>
          <w:sz w:val="26"/>
        </w:rPr>
        <w:t>Phương pháp phân tích và tổng hợp tài liệu:</w:t>
      </w:r>
      <w:r>
        <w:rPr>
          <w:rFonts w:ascii="Times New Roman" w:hAnsi="Times New Roman" w:eastAsia="Times New Roman"/>
          <w:b w:val="0"/>
          <w:i w:val="0"/>
          <w:sz w:val="26"/>
        </w:rPr>
        <w:t xml:space="preserve"> Khái quát hóa lý luận về cấu thành vi phạm pháp luật từ giáo trình chuẩn mực và hệ thống văn bản quy phạm pháp luật.</w:t>
      </w:r>
    </w:p>
    <w:p>
      <w:pPr>
        <w:pStyle w:val="ListBullet"/>
        <w:ind w:firstLine="0"/>
        <w:jc w:val="both"/>
      </w:pPr>
      <w:r>
        <w:rPr>
          <w:rFonts w:ascii="Times New Roman" w:hAnsi="Times New Roman" w:eastAsia="Times New Roman"/>
          <w:b/>
          <w:i w:val="0"/>
          <w:sz w:val="26"/>
        </w:rPr>
        <w:t>Phương pháp nghiên cứu trường hợp (Case study):</w:t>
      </w:r>
      <w:r>
        <w:rPr>
          <w:rFonts w:ascii="Times New Roman" w:hAnsi="Times New Roman" w:eastAsia="Times New Roman"/>
          <w:b w:val="0"/>
          <w:i w:val="0"/>
          <w:sz w:val="26"/>
        </w:rPr>
        <w:t xml:space="preserve"> Mổ xẻ tình huống thực tế được công bố để làm rõ các khía cạnh lý luận.</w:t>
      </w:r>
    </w:p>
    <w:p>
      <w:pPr>
        <w:pStyle w:val="ListBullet"/>
        <w:ind w:firstLine="0"/>
        <w:jc w:val="both"/>
      </w:pPr>
      <w:r>
        <w:rPr>
          <w:rFonts w:ascii="Times New Roman" w:hAnsi="Times New Roman" w:eastAsia="Times New Roman"/>
          <w:b/>
          <w:i w:val="0"/>
          <w:sz w:val="26"/>
        </w:rPr>
        <w:t>Phương pháp đối chiếu quy phạm:</w:t>
      </w:r>
      <w:r>
        <w:rPr>
          <w:rFonts w:ascii="Times New Roman" w:hAnsi="Times New Roman" w:eastAsia="Times New Roman"/>
          <w:b w:val="0"/>
          <w:i w:val="0"/>
          <w:sz w:val="26"/>
        </w:rPr>
        <w:t xml:space="preserve"> So sánh hành vi khách quan thực tế với các quy định cấm của pháp luật.</w:t>
      </w:r>
    </w:p>
    <w:p>
      <w:pPr>
        <w:pStyle w:val="ListBullet"/>
        <w:ind w:firstLine="0"/>
        <w:jc w:val="both"/>
      </w:pPr>
      <w:r>
        <w:rPr>
          <w:rFonts w:ascii="Times New Roman" w:hAnsi="Times New Roman" w:eastAsia="Times New Roman"/>
          <w:b/>
          <w:i w:val="0"/>
          <w:sz w:val="26"/>
        </w:rPr>
        <w:t>Phương pháp logic học:</w:t>
      </w:r>
      <w:r>
        <w:rPr>
          <w:rFonts w:ascii="Times New Roman" w:hAnsi="Times New Roman" w:eastAsia="Times New Roman"/>
          <w:b w:val="0"/>
          <w:i w:val="0"/>
          <w:sz w:val="26"/>
        </w:rPr>
        <w:t xml:space="preserve"> Xây dựng lập luận chặt chẽ từ Dữ kiện (Fact) $\rightarrow$ Đánh giá pháp lý (Legal Reasoning) $\rightarrow$ Kết luận học thuật (Conclusion).</w:t>
      </w:r>
    </w:p>
    <w:p>
      <w:pPr>
        <w:pStyle w:val="Heading1"/>
        <w:ind w:firstLine="0"/>
        <w:jc w:val="center"/>
      </w:pPr>
      <w:r>
        <w:rPr>
          <w:rFonts w:ascii="Times New Roman" w:hAnsi="Times New Roman" w:eastAsia="Times New Roman"/>
          <w:b w:val="0"/>
          <w:i w:val="0"/>
          <w:sz w:val="32"/>
        </w:rPr>
        <w:t>CHƯƠNG 1: CƠ SỞ LÝ LUẬN VỀ VI PHẠM PHÁP LUẬT VÀ CẤU THÀNH VI PHẠM PHÁP LUẬT</w:t>
      </w:r>
    </w:p>
    <w:p>
      <w:pPr>
        <w:pStyle w:val="Heading2"/>
        <w:ind w:firstLine="0"/>
        <w:jc w:val="center"/>
      </w:pPr>
      <w:r>
        <w:rPr>
          <w:rFonts w:ascii="Times New Roman" w:hAnsi="Times New Roman" w:eastAsia="Times New Roman"/>
          <w:b w:val="0"/>
          <w:i w:val="0"/>
          <w:sz w:val="30"/>
        </w:rPr>
        <w:t>1.1. Khái niệm vi phạm pháp luật</w:t>
      </w:r>
    </w:p>
    <w:p>
      <w:pPr>
        <w:ind w:firstLine="709"/>
        <w:jc w:val="both"/>
      </w:pPr>
      <w:r>
        <w:rPr>
          <w:rFonts w:ascii="Times New Roman" w:hAnsi="Times New Roman" w:eastAsia="Times New Roman"/>
          <w:b w:val="0"/>
          <w:i w:val="0"/>
          <w:sz w:val="26"/>
        </w:rPr>
        <w:t>Trong đời sống xã hội, pháp luật giữ vai trò là quy tắc xử sự chung có tính bắt buộc, do Nhà nước ban hành hoặc thừa nhận nhằm duy trì trật tự xã hội và bảo vệ quyền, lợi ích hợp pháp của các chủ thể. Khi một chủ thể thực hiện hành vi trái với các quy định đó, gây nguy hại hoặc đe dọa gây nguy hại cho xã hội thì hành vi đó bị xác định là vi phạm pháp luật.</w:t>
      </w:r>
    </w:p>
    <w:p>
      <w:pPr>
        <w:ind w:firstLine="709"/>
        <w:jc w:val="both"/>
      </w:pPr>
      <w:r>
        <w:rPr>
          <w:rFonts w:ascii="Times New Roman" w:hAnsi="Times New Roman" w:eastAsia="Times New Roman"/>
          <w:b w:val="0"/>
          <w:i w:val="0"/>
          <w:sz w:val="26"/>
        </w:rPr>
        <w:t xml:space="preserve">Theo giáo trình Pháp luật đại cương, </w:t>
      </w:r>
      <w:r>
        <w:rPr>
          <w:rFonts w:ascii="Times New Roman" w:hAnsi="Times New Roman" w:eastAsia="Times New Roman"/>
          <w:b/>
          <w:i w:val="0"/>
          <w:sz w:val="26"/>
        </w:rPr>
        <w:t>vi phạm pháp luật</w:t>
      </w:r>
      <w:r>
        <w:rPr>
          <w:rFonts w:ascii="Times New Roman" w:hAnsi="Times New Roman" w:eastAsia="Times New Roman"/>
          <w:b w:val="0"/>
          <w:i w:val="0"/>
          <w:sz w:val="26"/>
        </w:rPr>
        <w:t xml:space="preserve"> là hành vi (hành động hoặc không hành động) trái pháp luật, có lỗi, do chủ thể có năng lực trách nhiệm pháp lý thực hiện, xâm hại đến các quan hệ xã hội được pháp luật bảo vệ.</w:t>
      </w:r>
    </w:p>
    <w:p>
      <w:pPr>
        <w:ind w:firstLine="709"/>
        <w:jc w:val="both"/>
      </w:pPr>
      <w:r>
        <w:rPr>
          <w:rFonts w:ascii="Times New Roman" w:hAnsi="Times New Roman" w:eastAsia="Times New Roman"/>
          <w:b w:val="0"/>
          <w:i w:val="0"/>
          <w:sz w:val="26"/>
        </w:rPr>
        <w:t>Vi phạm pháp luật là hiện tượng xã hội – pháp lý tiêu cực, thể hiện sự xâm phạm trật tự kỷ cương do Nhà nước xác lập và là cơ sở duy nhất để truy cứu trách nhiệm pháp lý.</w:t>
      </w:r>
    </w:p>
    <w:p>
      <w:pPr>
        <w:pStyle w:val="Heading2"/>
        <w:ind w:firstLine="0"/>
        <w:jc w:val="center"/>
      </w:pPr>
      <w:r>
        <w:rPr>
          <w:rFonts w:ascii="Times New Roman" w:hAnsi="Times New Roman" w:eastAsia="Times New Roman"/>
          <w:b w:val="0"/>
          <w:i w:val="0"/>
          <w:sz w:val="30"/>
        </w:rPr>
        <w:t>1.2. Các dấu hiệu cơ bản của vi phạm pháp luật</w:t>
      </w:r>
    </w:p>
    <w:p>
      <w:pPr>
        <w:ind w:firstLine="709"/>
        <w:jc w:val="both"/>
      </w:pPr>
      <w:r>
        <w:rPr>
          <w:rFonts w:ascii="Times New Roman" w:hAnsi="Times New Roman" w:eastAsia="Times New Roman"/>
          <w:b w:val="0"/>
          <w:i w:val="0"/>
          <w:sz w:val="26"/>
        </w:rPr>
        <w:t>Để nhận diện một hiện tượng thực tế có phải là vi phạm pháp luật hay không, khoa học pháp lý xác định bốn dấu hiệu đặc trưng bắt buộc phải hội tụ đồng thời:</w:t>
      </w:r>
    </w:p>
    <w:p>
      <w:pPr>
        <w:pStyle w:val="ListNumber"/>
        <w:ind w:firstLine="0"/>
        <w:jc w:val="both"/>
      </w:pPr>
      <w:r>
        <w:rPr>
          <w:rFonts w:ascii="Times New Roman" w:hAnsi="Times New Roman" w:eastAsia="Times New Roman"/>
          <w:b/>
          <w:i w:val="0"/>
          <w:sz w:val="26"/>
        </w:rPr>
        <w:t>Là hành vi xác định của con người:</w:t>
      </w:r>
    </w:p>
    <w:p>
      <w:pPr>
        <w:ind w:firstLine="709"/>
        <w:jc w:val="both"/>
      </w:pPr>
      <w:r>
        <w:rPr>
          <w:rFonts w:ascii="Times New Roman" w:hAnsi="Times New Roman" w:eastAsia="Times New Roman"/>
          <w:b w:val="0"/>
          <w:i w:val="0"/>
          <w:sz w:val="26"/>
        </w:rPr>
        <w:t xml:space="preserve">   Pháp luật chỉ điều chỉnh hành vi thực tế của con người bộc lộ ra thế giới khách quan, không điều chỉnh suy nghĩ, ý thức nội tâm chưa chuyển hóa thành hành động. Hành vi này tồn tại dưới hai dạng thức: </w:t>
      </w:r>
      <w:r>
        <w:rPr>
          <w:rFonts w:ascii="Times New Roman" w:hAnsi="Times New Roman" w:eastAsia="Times New Roman"/>
          <w:b w:val="0"/>
          <w:i/>
          <w:sz w:val="26"/>
        </w:rPr>
        <w:t>hành động</w:t>
      </w:r>
      <w:r>
        <w:rPr>
          <w:rFonts w:ascii="Times New Roman" w:hAnsi="Times New Roman" w:eastAsia="Times New Roman"/>
          <w:b w:val="0"/>
          <w:i w:val="0"/>
          <w:sz w:val="26"/>
        </w:rPr>
        <w:t xml:space="preserve"> (chủ thể làm điều pháp luật cấm) hoặc </w:t>
      </w:r>
      <w:r>
        <w:rPr>
          <w:rFonts w:ascii="Times New Roman" w:hAnsi="Times New Roman" w:eastAsia="Times New Roman"/>
          <w:b w:val="0"/>
          <w:i/>
          <w:sz w:val="26"/>
        </w:rPr>
        <w:t>không hành động</w:t>
      </w:r>
      <w:r>
        <w:rPr>
          <w:rFonts w:ascii="Times New Roman" w:hAnsi="Times New Roman" w:eastAsia="Times New Roman"/>
          <w:b w:val="0"/>
          <w:i w:val="0"/>
          <w:sz w:val="26"/>
        </w:rPr>
        <w:t xml:space="preserve"> (chủ thể không làm điều pháp luật bắt buộc phải làm dù có đủ điều kiện thực hiện).</w:t>
      </w:r>
    </w:p>
    <w:p>
      <w:pPr>
        <w:pStyle w:val="ListNumber"/>
        <w:ind w:firstLine="0"/>
        <w:jc w:val="both"/>
      </w:pPr>
      <w:r>
        <w:rPr>
          <w:rFonts w:ascii="Times New Roman" w:hAnsi="Times New Roman" w:eastAsia="Times New Roman"/>
          <w:b/>
          <w:i w:val="0"/>
          <w:sz w:val="26"/>
        </w:rPr>
        <w:t>Có tính chất trái pháp luật:</w:t>
      </w:r>
    </w:p>
    <w:p>
      <w:pPr>
        <w:ind w:firstLine="709"/>
        <w:jc w:val="both"/>
      </w:pPr>
      <w:r>
        <w:rPr>
          <w:rFonts w:ascii="Times New Roman" w:hAnsi="Times New Roman" w:eastAsia="Times New Roman"/>
          <w:b w:val="0"/>
          <w:i w:val="0"/>
          <w:sz w:val="26"/>
        </w:rPr>
        <w:t xml:space="preserve">   Hành vi không phù hợp với các quy tắc xử sự được ghi nhận trong quy phạm pháp luật, biểu hiện qua việc thực hiện điều bị nghiêm cấm, vượt quá giới hạn quyền cho phép hoặc không thực hiện nghĩa vụ pháp lý. Hành vi này xâm hại hoặc đe dọa xâm hại đến các quan hệ xã hội được pháp luật bảo vệ.</w:t>
      </w:r>
    </w:p>
    <w:p>
      <w:pPr>
        <w:pStyle w:val="ListNumber"/>
        <w:ind w:firstLine="0"/>
        <w:jc w:val="both"/>
      </w:pPr>
      <w:r>
        <w:rPr>
          <w:rFonts w:ascii="Times New Roman" w:hAnsi="Times New Roman" w:eastAsia="Times New Roman"/>
          <w:b/>
          <w:i w:val="0"/>
          <w:sz w:val="26"/>
        </w:rPr>
        <w:t>Có lỗi của chủ thể:</w:t>
      </w:r>
    </w:p>
    <w:p>
      <w:pPr>
        <w:ind w:firstLine="709"/>
        <w:jc w:val="both"/>
      </w:pPr>
      <w:r>
        <w:rPr>
          <w:rFonts w:ascii="Times New Roman" w:hAnsi="Times New Roman" w:eastAsia="Times New Roman"/>
          <w:b w:val="0"/>
          <w:i w:val="0"/>
          <w:sz w:val="26"/>
        </w:rPr>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cách xử sự hợp pháp nhưng đã lựa chọn xử sự trái pháp luật. Trường hợp hành vi gây thiệt hại do sự kiện bất khả kháng hoặc phòng vệ chính đáng không có lỗi thì không cấu thành vi phạm pháp luật.</w:t>
      </w:r>
    </w:p>
    <w:p>
      <w:pPr>
        <w:pStyle w:val="ListNumber"/>
        <w:ind w:firstLine="0"/>
        <w:jc w:val="both"/>
      </w:pPr>
      <w:r>
        <w:rPr>
          <w:rFonts w:ascii="Times New Roman" w:hAnsi="Times New Roman" w:eastAsia="Times New Roman"/>
          <w:b/>
          <w:i w:val="0"/>
          <w:sz w:val="26"/>
        </w:rPr>
        <w:t>Do chủ thể có năng lực trách nhiệm pháp lý thực hiện:</w:t>
      </w:r>
    </w:p>
    <w:p>
      <w:pPr>
        <w:ind w:firstLine="709"/>
        <w:jc w:val="both"/>
      </w:pPr>
      <w:r>
        <w:rPr>
          <w:rFonts w:ascii="Times New Roman" w:hAnsi="Times New Roman" w:eastAsia="Times New Roman"/>
          <w:b w:val="0"/>
          <w:i w:val="0"/>
          <w:sz w:val="26"/>
        </w:rP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pPr>
        <w:pStyle w:val="Heading2"/>
        <w:ind w:firstLine="0"/>
        <w:jc w:val="center"/>
      </w:pPr>
      <w:r>
        <w:rPr>
          <w:rFonts w:ascii="Times New Roman" w:hAnsi="Times New Roman" w:eastAsia="Times New Roman"/>
          <w:b w:val="0"/>
          <w:i w:val="0"/>
          <w:sz w:val="30"/>
        </w:rPr>
        <w:t>1.3. Khái niệm và ý nghĩa của cấu thành vi phạm pháp luật</w:t>
      </w:r>
    </w:p>
    <w:p>
      <w:pPr>
        <w:ind w:firstLine="709"/>
        <w:jc w:val="both"/>
      </w:pPr>
      <w:r>
        <w:rPr>
          <w:rFonts w:ascii="Times New Roman" w:hAnsi="Times New Roman" w:eastAsia="Times New Roman"/>
          <w:b/>
          <w:i w:val="0"/>
          <w:sz w:val="26"/>
        </w:rPr>
        <w:t>Cấu thành vi phạm pháp luật</w:t>
      </w:r>
      <w:r>
        <w:rPr>
          <w:rFonts w:ascii="Times New Roman" w:hAnsi="Times New Roman" w:eastAsia="Times New Roman"/>
          <w:b w:val="0"/>
          <w:i w:val="0"/>
          <w:sz w:val="26"/>
        </w:rPr>
        <w:t xml:space="preserve"> là tổng thể các yếu tố, điều kiện khách quan và chủ quan được pháp luật quy định, đặc trưng cho một vi phạm pháp luật cụ thể.</w:t>
      </w:r>
    </w:p>
    <w:p>
      <w:pPr>
        <w:ind w:firstLine="709"/>
        <w:jc w:val="both"/>
      </w:pPr>
      <w:r>
        <w:rPr>
          <w:rFonts w:ascii="Times New Roman" w:hAnsi="Times New Roman" w:eastAsia="Times New Roman"/>
          <w:b w:val="0"/>
          <w:i w:val="0"/>
          <w:sz w:val="26"/>
        </w:rPr>
        <w:t>Mô hình cấu thành vi phạm pháp luật gồm bốn yếu tố có mối quan hệ biện chứng, hữu cơ với nhau:</w:t>
      </w:r>
    </w:p>
    <w:p>
      <w:pPr>
        <w:pStyle w:val="ListNumber"/>
        <w:ind w:firstLine="0"/>
        <w:jc w:val="both"/>
      </w:pPr>
      <w:r>
        <w:rPr>
          <w:rFonts w:ascii="Times New Roman" w:hAnsi="Times New Roman" w:eastAsia="Times New Roman"/>
          <w:b/>
          <w:i w:val="0"/>
          <w:sz w:val="26"/>
        </w:rPr>
        <w:t>Khách thể của vi phạm pháp luật</w:t>
      </w:r>
    </w:p>
    <w:p>
      <w:pPr>
        <w:pStyle w:val="ListNumber"/>
        <w:ind w:firstLine="0"/>
        <w:jc w:val="both"/>
      </w:pPr>
      <w:r>
        <w:rPr>
          <w:rFonts w:ascii="Times New Roman" w:hAnsi="Times New Roman" w:eastAsia="Times New Roman"/>
          <w:b/>
          <w:i w:val="0"/>
          <w:sz w:val="26"/>
        </w:rPr>
        <w:t>Mặt khách quan của vi phạm pháp luật</w:t>
      </w:r>
    </w:p>
    <w:p>
      <w:pPr>
        <w:pStyle w:val="ListNumber"/>
        <w:ind w:firstLine="0"/>
        <w:jc w:val="both"/>
      </w:pPr>
      <w:r>
        <w:rPr>
          <w:rFonts w:ascii="Times New Roman" w:hAnsi="Times New Roman" w:eastAsia="Times New Roman"/>
          <w:b/>
          <w:i w:val="0"/>
          <w:sz w:val="26"/>
        </w:rPr>
        <w:t>Chủ thể của vi phạm pháp luật</w:t>
      </w:r>
    </w:p>
    <w:p>
      <w:pPr>
        <w:pStyle w:val="ListNumber"/>
        <w:ind w:firstLine="0"/>
        <w:jc w:val="both"/>
      </w:pPr>
      <w:r>
        <w:rPr>
          <w:rFonts w:ascii="Times New Roman" w:hAnsi="Times New Roman" w:eastAsia="Times New Roman"/>
          <w:b/>
          <w:i w:val="0"/>
          <w:sz w:val="26"/>
        </w:rPr>
        <w:t>Mặt chủ quan của vi phạm pháp luật</w:t>
      </w:r>
    </w:p>
    <w:p>
      <w:pPr>
        <w:spacing w:line="240" w:lineRule="auto"/>
        <w:ind w:left="283" w:firstLine="0"/>
      </w:pPr>
      <w:r>
        <w:rPr>
          <w:rFonts w:ascii="Times New Roman" w:hAnsi="Times New Roman" w:eastAsia="Times New Roman"/>
          <w:b w:val="0"/>
          <w:i w:val="0"/>
          <w:sz w:val="18"/>
        </w:rPr>
        <w:t xml:space="preserve">       ┌─────────────────────────────────────────────────────────────┐</w:t>
        <w:br/>
        <w:t xml:space="preserve">       │             CẤU THÀNH VI PHẠM PHÁP LUẬT                     │</w:t>
        <w:br/>
        <w:t xml:space="preserve">       └──────────────────────────────┬──────────────────────────────┘</w:t>
        <w:br/>
        <w:t xml:space="preserve">                                      │</w:t>
        <w:br/>
        <w:t xml:space="preserve">          ┌───────────────────────────┼───────────────────────────┐</w:t>
        <w:br/>
        <w:t xml:space="preserve">          │                           │                           │</w:t>
        <w:br/>
        <w:t xml:space="preserve">          ▼                           ▼                           ▼</w:t>
        <w:br/>
        <w:t>┌───────────────────┐       ┌───────────────────┐       ┌───────────────────┐</w:t>
        <w:br/>
        <w:t>│     KHÁCH THỂ     │       │   MẶT KHÁCH QUAN  │       │      CHỦ THỂ      │</w:t>
        <w:br/>
        <w:t>│ (Quan hệ xã hội   │       │ (Hành vi, hậu quả,│       │ (Cá nhân, tổ chức │</w:t>
        <w:br/>
        <w:t>│  được bảo vệ)     │       │  MQH nhân quả...) │       │  có năng lực TNPL)│</w:t>
        <w:br/>
        <w:t>└───────────────────┘       └───────────────────┘       └───────────────────┘</w:t>
        <w:br/>
        <w:t xml:space="preserve">                                      │</w:t>
        <w:br/>
        <w:t xml:space="preserve">                                      ▼</w:t>
        <w:br/>
        <w:t xml:space="preserve">                            ┌───────────────────┐</w:t>
        <w:br/>
        <w:t xml:space="preserve">                            │   MẶT CHỦ QUAN    │</w:t>
        <w:br/>
        <w:t xml:space="preserve">                            │ (Lỗi, động cơ,    │</w:t>
        <w:br/>
        <w:t xml:space="preserve">                            │  mục đích)        │</w:t>
        <w:br/>
        <w:t xml:space="preserve">                            └───────────────────┘</w:t>
      </w:r>
    </w:p>
    <w:p>
      <w:pPr>
        <w:ind w:firstLine="709"/>
        <w:jc w:val="both"/>
      </w:pPr>
      <w:r>
        <w:rPr>
          <w:rFonts w:ascii="Times New Roman" w:hAnsi="Times New Roman" w:eastAsia="Times New Roman"/>
          <w:b w:val="0"/>
          <w:i w:val="0"/>
          <w:sz w:val="26"/>
        </w:rPr>
        <w:t>Việc nghiên cứu và áp dụng mô hình cấu thành có ý nghĩa nền tảng:</w:t>
      </w:r>
    </w:p>
    <w:p>
      <w:pPr>
        <w:pStyle w:val="ListBullet"/>
        <w:ind w:firstLine="0"/>
        <w:jc w:val="both"/>
      </w:pPr>
      <w:r>
        <w:rPr>
          <w:rFonts w:ascii="Times New Roman" w:hAnsi="Times New Roman" w:eastAsia="Times New Roman"/>
          <w:b w:val="0"/>
          <w:i w:val="0"/>
          <w:sz w:val="26"/>
        </w:rPr>
        <w:t>Là công cụ nhận thức khoa học giúp đánh giá đầy đủ, chuẩn xác tính chất pháp lý của một hành vi thực tế.</w:t>
      </w:r>
    </w:p>
    <w:p>
      <w:pPr>
        <w:pStyle w:val="ListBullet"/>
        <w:ind w:firstLine="0"/>
        <w:jc w:val="both"/>
      </w:pPr>
      <w:r>
        <w:rPr>
          <w:rFonts w:ascii="Times New Roman" w:hAnsi="Times New Roman" w:eastAsia="Times New Roman"/>
          <w:b w:val="0"/>
          <w:i w:val="0"/>
          <w:sz w:val="26"/>
        </w:rPr>
        <w:t>Là cơ sở phân biệt giữa hành vi vi phạm pháp luật với các hành vi vi phạm đạo đức, tập quán xã hội hoặc hành vi hợp pháp.</w:t>
      </w:r>
    </w:p>
    <w:p>
      <w:pPr>
        <w:pStyle w:val="ListBullet"/>
        <w:ind w:firstLine="0"/>
        <w:jc w:val="both"/>
      </w:pPr>
      <w:r>
        <w:rPr>
          <w:rFonts w:ascii="Times New Roman" w:hAnsi="Times New Roman" w:eastAsia="Times New Roman"/>
          <w:b w:val="0"/>
          <w:i w:val="0"/>
          <w:sz w:val="26"/>
        </w:rPr>
        <w:t>Là căn cứ định danh vi phạm và áp dụng đúng đắn chế tài trách nhiệm pháp lý (hình sự, hành chính, dân sự, kỷ luật).</w:t>
      </w:r>
    </w:p>
    <w:p>
      <w:pPr>
        <w:pStyle w:val="Heading2"/>
        <w:ind w:firstLine="0"/>
        <w:jc w:val="center"/>
      </w:pPr>
      <w:r>
        <w:rPr>
          <w:rFonts w:ascii="Times New Roman" w:hAnsi="Times New Roman" w:eastAsia="Times New Roman"/>
          <w:b w:val="0"/>
          <w:i w:val="0"/>
          <w:sz w:val="30"/>
        </w:rPr>
        <w:t>1.4. Khách thể của vi phạm pháp luật</w:t>
      </w:r>
    </w:p>
    <w:p>
      <w:pPr>
        <w:ind w:firstLine="709"/>
        <w:jc w:val="both"/>
      </w:pPr>
      <w:r>
        <w:rPr>
          <w:rFonts w:ascii="Times New Roman" w:hAnsi="Times New Roman" w:eastAsia="Times New Roman"/>
          <w:b w:val="0"/>
          <w:i w:val="0"/>
          <w:sz w:val="26"/>
        </w:rP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w:t>
      </w:r>
    </w:p>
    <w:p>
      <w:pPr>
        <w:ind w:firstLine="709"/>
        <w:jc w:val="both"/>
      </w:pPr>
      <w:r>
        <w:rPr>
          <w:rFonts w:ascii="Times New Roman" w:hAnsi="Times New Roman" w:eastAsia="Times New Roman"/>
          <w:b w:val="0"/>
          <w:i w:val="0"/>
          <w:sz w:val="26"/>
        </w:rPr>
        <w:t>Trong khoa học pháp lý, cần phân biệt rõ ba khái niệm:</w:t>
      </w:r>
    </w:p>
    <w:p>
      <w:pPr>
        <w:pStyle w:val="ListBullet"/>
        <w:ind w:firstLine="0"/>
        <w:jc w:val="both"/>
      </w:pPr>
      <w:r>
        <w:rPr>
          <w:rFonts w:ascii="Times New Roman" w:hAnsi="Times New Roman" w:eastAsia="Times New Roman"/>
          <w:b/>
          <w:i w:val="0"/>
          <w:sz w:val="26"/>
        </w:rPr>
        <w:t>Khách thể:</w:t>
      </w:r>
      <w:r>
        <w:rPr>
          <w:rFonts w:ascii="Times New Roman" w:hAnsi="Times New Roman" w:eastAsia="Times New Roman"/>
          <w:b w:val="0"/>
          <w:i w:val="0"/>
          <w:sz w:val="26"/>
        </w:rPr>
        <w:t xml:space="preserve"> Là quan hệ xã hội được pháp luật bảo vệ (như trật tự quản lý kinh tế, quyền tài sản, quyền được bảo vệ an toàn tính mạng, sức khỏe và quyền thông tin của người tiêu dùng).</w:t>
      </w:r>
    </w:p>
    <w:p>
      <w:pPr>
        <w:pStyle w:val="ListBullet"/>
        <w:ind w:firstLine="0"/>
        <w:jc w:val="both"/>
      </w:pPr>
      <w:r>
        <w:rPr>
          <w:rFonts w:ascii="Times New Roman" w:hAnsi="Times New Roman" w:eastAsia="Times New Roman"/>
          <w:b/>
          <w:i w:val="0"/>
          <w:sz w:val="26"/>
        </w:rPr>
        <w:t>Đối tượng tác động:</w:t>
      </w:r>
      <w:r>
        <w:rPr>
          <w:rFonts w:ascii="Times New Roman" w:hAnsi="Times New Roman" w:eastAsia="Times New Roman"/>
          <w:b w:val="0"/>
          <w:i w:val="0"/>
          <w:sz w:val="26"/>
        </w:rPr>
        <w:t xml:space="preserve"> Là những vật thể, hiện tượng vật chất cụ thể hoặc thông tin mà thông qua việc tác động vào đó, chủ thể xâm hại đến khách thể (ví dụ: sản phẩm hàng hóa, tài liệu, tiền thanh toán, hình ảnh).</w:t>
      </w:r>
    </w:p>
    <w:p>
      <w:pPr>
        <w:pStyle w:val="ListBullet"/>
        <w:ind w:firstLine="0"/>
        <w:jc w:val="both"/>
      </w:pPr>
      <w:r>
        <w:rPr>
          <w:rFonts w:ascii="Times New Roman" w:hAnsi="Times New Roman" w:eastAsia="Times New Roman"/>
          <w:b/>
          <w:i w:val="0"/>
          <w:sz w:val="26"/>
        </w:rPr>
        <w:t>Chủ thể của quan hệ bị xâm hại (Người bị thiệt hại / Người bị ảnh hưởng):</w:t>
      </w:r>
      <w:r>
        <w:rPr>
          <w:rFonts w:ascii="Times New Roman" w:hAnsi="Times New Roman" w:eastAsia="Times New Roman"/>
          <w:b w:val="0"/>
          <w:i w:val="0"/>
          <w:sz w:val="26"/>
        </w:rPr>
        <w:t xml:space="preserve"> Là các cá nhân, tổ chức tham gia vào quan hệ xã hội bị xâm hại và gánh chịu tổn hại trực tiếp hoặc gián tiếp từ hành vi vi phạm.</w:t>
      </w:r>
    </w:p>
    <w:p>
      <w:pPr>
        <w:pStyle w:val="Heading2"/>
        <w:ind w:firstLine="0"/>
        <w:jc w:val="center"/>
      </w:pPr>
      <w:r>
        <w:rPr>
          <w:rFonts w:ascii="Times New Roman" w:hAnsi="Times New Roman" w:eastAsia="Times New Roman"/>
          <w:b w:val="0"/>
          <w:i w:val="0"/>
          <w:sz w:val="30"/>
        </w:rPr>
        <w:t>1.5. Mặt khách quan của vi phạm pháp luật</w:t>
      </w:r>
    </w:p>
    <w:p>
      <w:pPr>
        <w:ind w:firstLine="709"/>
        <w:jc w:val="both"/>
      </w:pPr>
      <w:r>
        <w:rPr>
          <w:rFonts w:ascii="Times New Roman" w:hAnsi="Times New Roman" w:eastAsia="Times New Roman"/>
          <w:b w:val="0"/>
          <w:i w:val="0"/>
          <w:sz w:val="26"/>
        </w:rPr>
        <w:t>Mặt khách quan của vi phạm pháp luật là những biểu hiện bên ngoài của vi phạm pháp luật diễn ra trong thực tế khách quan, bao gồm:</w:t>
      </w:r>
    </w:p>
    <w:p>
      <w:pPr>
        <w:pStyle w:val="ListNumber"/>
        <w:ind w:firstLine="0"/>
        <w:jc w:val="both"/>
      </w:pPr>
      <w:r>
        <w:rPr>
          <w:rFonts w:ascii="Times New Roman" w:hAnsi="Times New Roman" w:eastAsia="Times New Roman"/>
          <w:b/>
          <w:i w:val="0"/>
          <w:sz w:val="26"/>
        </w:rPr>
        <w:t>Hành vi trái pháp luật:</w:t>
      </w:r>
      <w:r>
        <w:rPr>
          <w:rFonts w:ascii="Times New Roman" w:hAnsi="Times New Roman" w:eastAsia="Times New Roman"/>
          <w:b w:val="0"/>
          <w:i w:val="0"/>
          <w:sz w:val="26"/>
        </w:rPr>
        <w:t xml:space="preserve"> Là yếu tố bắt buộc, thể hiện dưới dạng hành động hoặc không hành động làm trái các quy định của pháp luật.</w:t>
      </w:r>
    </w:p>
    <w:p>
      <w:pPr>
        <w:pStyle w:val="ListNumber"/>
        <w:ind w:firstLine="0"/>
        <w:jc w:val="both"/>
      </w:pPr>
      <w:r>
        <w:rPr>
          <w:rFonts w:ascii="Times New Roman" w:hAnsi="Times New Roman" w:eastAsia="Times New Roman"/>
          <w:b/>
          <w:i w:val="0"/>
          <w:sz w:val="26"/>
        </w:rPr>
        <w:t>Hậu quả nguy hiểm cho xã hội:</w:t>
      </w:r>
      <w:r>
        <w:rPr>
          <w:rFonts w:ascii="Times New Roman" w:hAnsi="Times New Roman" w:eastAsia="Times New Roman"/>
          <w:b w:val="0"/>
          <w:i w:val="0"/>
          <w:sz w:val="26"/>
        </w:rPr>
        <w:t xml:space="preserve"> Là những thiệt hại thực tế hoặc nguy cơ gây thiệt hại về vật chất, thể chất, tinh thần hoặc trật tự quản lý xã hội.</w:t>
      </w:r>
    </w:p>
    <w:p>
      <w:pPr>
        <w:pStyle w:val="ListNumber"/>
        <w:ind w:firstLine="0"/>
        <w:jc w:val="both"/>
      </w:pPr>
      <w:r>
        <w:rPr>
          <w:rFonts w:ascii="Times New Roman" w:hAnsi="Times New Roman" w:eastAsia="Times New Roman"/>
          <w:b/>
          <w:i w:val="0"/>
          <w:sz w:val="26"/>
        </w:rPr>
        <w:t>Mối quan hệ nhân quả:</w:t>
      </w:r>
      <w:r>
        <w:rPr>
          <w:rFonts w:ascii="Times New Roman" w:hAnsi="Times New Roman" w:eastAsia="Times New Roman"/>
          <w:b w:val="0"/>
          <w:i w:val="0"/>
          <w:sz w:val="26"/>
        </w:rPr>
        <w:t xml:space="preserve"> Hành vi trái pháp luật phải xảy ra trước hậu quả về thời gian và là nguyên nhân trực tiếp dẫn tới hậu quả nguy hại đó.</w:t>
      </w:r>
    </w:p>
    <w:p>
      <w:pPr>
        <w:pStyle w:val="ListNumber"/>
        <w:ind w:firstLine="0"/>
        <w:jc w:val="both"/>
      </w:pPr>
      <w:r>
        <w:rPr>
          <w:rFonts w:ascii="Times New Roman" w:hAnsi="Times New Roman" w:eastAsia="Times New Roman"/>
          <w:b/>
          <w:i w:val="0"/>
          <w:sz w:val="26"/>
        </w:rPr>
        <w:t>Các yếu tố khách quan khác:</w:t>
      </w:r>
      <w:r>
        <w:rPr>
          <w:rFonts w:ascii="Times New Roman" w:hAnsi="Times New Roman" w:eastAsia="Times New Roman"/>
          <w:b w:val="0"/>
          <w:i w:val="0"/>
          <w:sz w:val="26"/>
        </w:rPr>
        <w:t xml:space="preserve"> Thời gian, địa điểm, công cụ, phương tiện, phương thức thực hiện hành vi.</w:t>
      </w:r>
    </w:p>
    <w:p>
      <w:pPr>
        <w:pStyle w:val="Heading2"/>
        <w:ind w:firstLine="0"/>
        <w:jc w:val="center"/>
      </w:pPr>
      <w:r>
        <w:rPr>
          <w:rFonts w:ascii="Times New Roman" w:hAnsi="Times New Roman" w:eastAsia="Times New Roman"/>
          <w:b w:val="0"/>
          <w:i w:val="0"/>
          <w:sz w:val="30"/>
        </w:rPr>
        <w:t>1.6. Chủ thể của vi phạm pháp luật</w:t>
      </w:r>
    </w:p>
    <w:p>
      <w:pPr>
        <w:ind w:firstLine="709"/>
        <w:jc w:val="both"/>
      </w:pPr>
      <w:r>
        <w:rPr>
          <w:rFonts w:ascii="Times New Roman" w:hAnsi="Times New Roman" w:eastAsia="Times New Roman"/>
          <w:b w:val="0"/>
          <w:i w:val="0"/>
          <w:sz w:val="26"/>
        </w:rPr>
        <w:t>Chủ thể của vi phạm pháp luật là cá nhân hoặc tổ chức có năng lực trách nhiệm pháp lý đã thực hiện hành vi vi phạm pháp luật.</w:t>
      </w:r>
    </w:p>
    <w:p>
      <w:pPr>
        <w:pStyle w:val="ListBullet"/>
        <w:ind w:firstLine="0"/>
        <w:jc w:val="both"/>
      </w:pPr>
      <w:r>
        <w:rPr>
          <w:rFonts w:ascii="Times New Roman" w:hAnsi="Times New Roman" w:eastAsia="Times New Roman"/>
          <w:b/>
          <w:i w:val="0"/>
          <w:sz w:val="26"/>
        </w:rPr>
        <w:t>Đối với cá nhân:</w:t>
      </w:r>
      <w:r>
        <w:rPr>
          <w:rFonts w:ascii="Times New Roman" w:hAnsi="Times New Roman" w:eastAsia="Times New Roman"/>
          <w:b w:val="0"/>
          <w:i w:val="0"/>
          <w:sz w:val="26"/>
        </w:rPr>
        <w:t xml:space="preserve"> Cần thỏa mãn điều kiện về độ tuổi luật định và khả năng nhận thức, điều khiển hành vi.</w:t>
      </w:r>
    </w:p>
    <w:p>
      <w:pPr>
        <w:pStyle w:val="ListBullet"/>
        <w:ind w:firstLine="0"/>
        <w:jc w:val="both"/>
      </w:pPr>
      <w:r>
        <w:rPr>
          <w:rFonts w:ascii="Times New Roman" w:hAnsi="Times New Roman" w:eastAsia="Times New Roman"/>
          <w:b/>
          <w:i w:val="0"/>
          <w:sz w:val="26"/>
        </w:rPr>
        <w:t>Đối với tổ chức / pháp nhân:</w:t>
      </w:r>
      <w:r>
        <w:rPr>
          <w:rFonts w:ascii="Times New Roman" w:hAnsi="Times New Roman" w:eastAsia="Times New Roman"/>
          <w:b w:val="0"/>
          <w:i w:val="0"/>
          <w:sz w:val="26"/>
        </w:rPr>
        <w:t xml:space="preserve"> Chịu trách nhiệm pháp lý theo các quy định riêng của từng ngành luật khi hành vi vi phạm được thực hiện nhân danh tổ chức.</w:t>
      </w:r>
    </w:p>
    <w:p>
      <w:pPr>
        <w:ind w:firstLine="709"/>
        <w:jc w:val="both"/>
      </w:pPr>
      <w:r>
        <w:rPr>
          <w:rFonts w:ascii="Times New Roman" w:hAnsi="Times New Roman" w:eastAsia="Times New Roman"/>
          <w:b w:val="0"/>
          <w:i w:val="0"/>
          <w:sz w:val="26"/>
        </w:rPr>
        <w:t>Trong các vụ việc có nhiều người tham gia, việc phân hóa vai trò cụ thể giữa người tổ chức, người trực tiếp thực hiện và người giúp sức là cơ sở để xác định chính xác mức độ trách nhiệm pháp lý.</w:t>
      </w:r>
    </w:p>
    <w:p>
      <w:pPr>
        <w:pStyle w:val="Heading2"/>
        <w:ind w:firstLine="0"/>
        <w:jc w:val="center"/>
      </w:pPr>
      <w:r>
        <w:rPr>
          <w:rFonts w:ascii="Times New Roman" w:hAnsi="Times New Roman" w:eastAsia="Times New Roman"/>
          <w:b w:val="0"/>
          <w:i w:val="0"/>
          <w:sz w:val="30"/>
        </w:rPr>
        <w:t>1.7. Mặt chủ quan của vi phạm pháp luật</w:t>
      </w:r>
    </w:p>
    <w:p>
      <w:pPr>
        <w:ind w:firstLine="709"/>
        <w:jc w:val="both"/>
      </w:pPr>
      <w:r>
        <w:rPr>
          <w:rFonts w:ascii="Times New Roman" w:hAnsi="Times New Roman" w:eastAsia="Times New Roman"/>
          <w:b w:val="0"/>
          <w:i w:val="0"/>
          <w:sz w:val="26"/>
        </w:rPr>
        <w:t>Mặt chủ quan của vi phạm pháp luật là trạng thái tâm lý bên trong của chủ thể gắn liền với hành vi trái pháp luật và hậu quả do hành vi đó gây ra, bao gồm:</w:t>
      </w:r>
    </w:p>
    <w:p>
      <w:pPr>
        <w:pStyle w:val="ListNumber"/>
        <w:ind w:firstLine="0"/>
        <w:jc w:val="both"/>
      </w:pPr>
      <w:r>
        <w:rPr>
          <w:rFonts w:ascii="Times New Roman" w:hAnsi="Times New Roman" w:eastAsia="Times New Roman"/>
          <w:b/>
          <w:i w:val="0"/>
          <w:sz w:val="26"/>
        </w:rPr>
        <w:t>Lỗi:</w:t>
      </w:r>
      <w:r>
        <w:rPr>
          <w:rFonts w:ascii="Times New Roman" w:hAnsi="Times New Roman" w:eastAsia="Times New Roman"/>
          <w:b w:val="0"/>
          <w:i w:val="0"/>
          <w:sz w:val="26"/>
        </w:rPr>
        <w:t xml:space="preserve"> Thái độ tâm lý của chủ thể đối với hành vi và hậu quả nguy hại do hành vi gây ra:</w:t>
      </w:r>
    </w:p>
    <w:p>
      <w:pPr>
        <w:pStyle w:val="ListBullet"/>
        <w:ind w:firstLine="0"/>
        <w:jc w:val="both"/>
      </w:pPr>
      <w:r>
        <w:rPr>
          <w:rFonts w:ascii="Times New Roman" w:hAnsi="Times New Roman" w:eastAsia="Times New Roman"/>
          <w:b w:val="0"/>
          <w:i/>
          <w:sz w:val="26"/>
        </w:rPr>
        <w:t>Lỗi cố ý:</w:t>
      </w:r>
      <w:r>
        <w:rPr>
          <w:rFonts w:ascii="Times New Roman" w:hAnsi="Times New Roman" w:eastAsia="Times New Roman"/>
          <w:b w:val="0"/>
          <w:i w:val="0"/>
          <w:sz w:val="26"/>
        </w:rP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pPr>
        <w:pStyle w:val="ListBullet"/>
        <w:ind w:firstLine="0"/>
        <w:jc w:val="both"/>
      </w:pPr>
      <w:r>
        <w:rPr>
          <w:rFonts w:ascii="Times New Roman" w:hAnsi="Times New Roman" w:eastAsia="Times New Roman"/>
          <w:b w:val="0"/>
          <w:i/>
          <w:sz w:val="26"/>
        </w:rPr>
        <w:t>Lỗi vô ý:</w:t>
      </w:r>
      <w:r>
        <w:rPr>
          <w:rFonts w:ascii="Times New Roman" w:hAnsi="Times New Roman" w:eastAsia="Times New Roman"/>
          <w:b w:val="0"/>
          <w:i w:val="0"/>
          <w:sz w:val="26"/>
        </w:rPr>
        <w:t xml:space="preserve"> Vô ý do quá tự tin hoặc vô ý do cẩu thả.</w:t>
      </w:r>
    </w:p>
    <w:p>
      <w:pPr>
        <w:pStyle w:val="ListNumber"/>
        <w:ind w:firstLine="0"/>
        <w:jc w:val="both"/>
      </w:pPr>
      <w:r>
        <w:rPr>
          <w:rFonts w:ascii="Times New Roman" w:hAnsi="Times New Roman" w:eastAsia="Times New Roman"/>
          <w:b/>
          <w:i w:val="0"/>
          <w:sz w:val="26"/>
        </w:rPr>
        <w:t>Động cơ:</w:t>
      </w:r>
      <w:r>
        <w:rPr>
          <w:rFonts w:ascii="Times New Roman" w:hAnsi="Times New Roman" w:eastAsia="Times New Roman"/>
          <w:b w:val="0"/>
          <w:i w:val="0"/>
          <w:sz w:val="26"/>
        </w:rPr>
        <w:t xml:space="preserve"> Động lực tâm lý bên trong thúc đẩy chủ thể thực hiện hành vi (như động cơ vụ lợi, tư lợi cá nhân).</w:t>
      </w:r>
    </w:p>
    <w:p>
      <w:pPr>
        <w:pStyle w:val="ListNumber"/>
        <w:ind w:firstLine="0"/>
        <w:jc w:val="both"/>
      </w:pPr>
      <w:r>
        <w:rPr>
          <w:rFonts w:ascii="Times New Roman" w:hAnsi="Times New Roman" w:eastAsia="Times New Roman"/>
          <w:b/>
          <w:i w:val="0"/>
          <w:sz w:val="26"/>
        </w:rPr>
        <w:t>Mục đích:</w:t>
      </w:r>
      <w:r>
        <w:rPr>
          <w:rFonts w:ascii="Times New Roman" w:hAnsi="Times New Roman" w:eastAsia="Times New Roman"/>
          <w:b w:val="0"/>
          <w:i w:val="0"/>
          <w:sz w:val="26"/>
        </w:rPr>
        <w:t xml:space="preserve"> Kết quả cuối cùng trong ý thức mà chủ thể mong muốn đạt được khi thực hiện hành vi (như mục đích thu lợi bất chính).</w:t>
      </w:r>
    </w:p>
    <w:p>
      <w:pPr>
        <w:pStyle w:val="Heading1"/>
        <w:ind w:firstLine="0"/>
        <w:jc w:val="center"/>
      </w:pPr>
      <w:r>
        <w:rPr>
          <w:rFonts w:ascii="Times New Roman" w:hAnsi="Times New Roman" w:eastAsia="Times New Roman"/>
          <w:b w:val="0"/>
          <w:i w:val="0"/>
          <w:sz w:val="32"/>
        </w:rPr>
        <w:t>CHƯƠNG 2: KHÁI QUÁT VỤ VIỆC QUẢNG CÁO GIAN DỐI SẢN PHẨM ĐÔNG Y TRÊN MẠNG XÃ HỘI</w:t>
      </w:r>
    </w:p>
    <w:p>
      <w:pPr>
        <w:pStyle w:val="Heading2"/>
        <w:ind w:firstLine="0"/>
        <w:jc w:val="center"/>
      </w:pPr>
      <w:r>
        <w:rPr>
          <w:rFonts w:ascii="Times New Roman" w:hAnsi="Times New Roman" w:eastAsia="Times New Roman"/>
          <w:b w:val="0"/>
          <w:i w:val="0"/>
          <w:sz w:val="30"/>
        </w:rPr>
        <w:t>2.1. Nguồn gốc thông tin và bối cảnh vụ việc</w:t>
      </w:r>
    </w:p>
    <w:p>
      <w:pPr>
        <w:ind w:firstLine="709"/>
        <w:jc w:val="both"/>
      </w:pPr>
      <w:r>
        <w:rPr>
          <w:rFonts w:ascii="Times New Roman" w:hAnsi="Times New Roman" w:eastAsia="Times New Roman"/>
          <w:b w:val="0"/>
          <w:i w:val="0"/>
          <w:sz w:val="26"/>
        </w:rP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pPr>
        <w:ind w:firstLine="709"/>
        <w:jc w:val="both"/>
      </w:pPr>
      <w:r>
        <w:rPr>
          <w:rFonts w:ascii="Times New Roman" w:hAnsi="Times New Roman" w:eastAsia="Times New Roman"/>
          <w:b w:val="0"/>
          <w:i w:val="0"/>
          <w:sz w:val="26"/>
        </w:rPr>
        <w:t xml:space="preserve">Báo Điện tử Chính phủ đăng bài lúc 14:47 ngày 10/8/2026, dẫn thông tin của Công an tỉnh Phú Thọ về vụ việc liên quan đến hoạt động sản xuất, kinh doanh và quảng cáo sản phẩm Đông y “Xương khớp bà Sáu” trên mạng xã hội. Cần phân biệt ngày bài báo đăng với ngày quyết định tố tụng: theo bài báo này, Cơ quan Cảnh sát điều tra Công an tỉnh Phú Thọ đã khởi tố vụ án và khởi tố Nguyễn Tiến Đạt cùng 20 bị can ngày </w:t>
      </w:r>
      <w:r>
        <w:rPr>
          <w:rFonts w:ascii="Times New Roman" w:hAnsi="Times New Roman" w:eastAsia="Times New Roman"/>
          <w:b/>
          <w:i w:val="0"/>
          <w:sz w:val="26"/>
        </w:rPr>
        <w:t>07/8/2026</w:t>
      </w:r>
      <w:r>
        <w:rPr>
          <w:rFonts w:ascii="Times New Roman" w:hAnsi="Times New Roman" w:eastAsia="Times New Roman"/>
          <w:b w:val="0"/>
          <w:i w:val="0"/>
          <w:sz w:val="26"/>
        </w:rPr>
        <w:t xml:space="preserve"> về tội </w:t>
      </w:r>
      <w:r>
        <w:rPr>
          <w:rFonts w:ascii="Times New Roman" w:hAnsi="Times New Roman" w:eastAsia="Times New Roman"/>
          <w:b w:val="0"/>
          <w:i/>
          <w:sz w:val="26"/>
        </w:rPr>
        <w:t>“Lừa dối khách hàng”</w:t>
      </w:r>
      <w:r>
        <w:rPr>
          <w:rFonts w:ascii="Times New Roman" w:hAnsi="Times New Roman" w:eastAsia="Times New Roman"/>
          <w:b w:val="0"/>
          <w:i w:val="0"/>
          <w:sz w:val="26"/>
        </w:rPr>
        <w:t xml:space="preserve"> theo khoản 2 Điều 198 BLHS [8].</w:t>
      </w:r>
    </w:p>
    <w:p>
      <w:pPr>
        <w:pStyle w:val="Heading2"/>
        <w:ind w:firstLine="0"/>
        <w:jc w:val="center"/>
      </w:pPr>
      <w:r>
        <w:rPr>
          <w:rFonts w:ascii="Times New Roman" w:hAnsi="Times New Roman" w:eastAsia="Times New Roman"/>
          <w:b w:val="0"/>
          <w:i w:val="0"/>
          <w:sz w:val="30"/>
        </w:rPr>
        <w:t>2.2. Phương thức và diễn biến hành vi theo thông tin điều tra ban đầu</w:t>
      </w:r>
    </w:p>
    <w:p>
      <w:pPr>
        <w:ind w:firstLine="709"/>
        <w:jc w:val="both"/>
      </w:pPr>
      <w:r>
        <w:rPr>
          <w:rFonts w:ascii="Times New Roman" w:hAnsi="Times New Roman" w:eastAsia="Times New Roman"/>
          <w:b w:val="0"/>
          <w:i w:val="0"/>
          <w:sz w:val="26"/>
        </w:rPr>
        <w:t>Theo tài liệu điều tra ban đầu được cơ quan công an công bố, vụ việc có những diễn biến và phương thức hoạt động chính như sau:</w:t>
      </w:r>
    </w:p>
    <w:p>
      <w:pPr>
        <w:pStyle w:val="ListNumber"/>
        <w:ind w:firstLine="0"/>
        <w:jc w:val="both"/>
      </w:pPr>
      <w:r>
        <w:rPr>
          <w:rFonts w:ascii="Times New Roman" w:hAnsi="Times New Roman" w:eastAsia="Times New Roman"/>
          <w:b/>
          <w:i w:val="0"/>
          <w:sz w:val="26"/>
        </w:rPr>
        <w:t>Nguồn gốc hàng hóa và chênh lệch giá:</w:t>
      </w:r>
    </w:p>
    <w:p>
      <w:pPr>
        <w:ind w:firstLine="709"/>
        <w:jc w:val="both"/>
      </w:pPr>
      <w:r>
        <w:rPr>
          <w:rFonts w:ascii="Times New Roman" w:hAnsi="Times New Roman" w:eastAsia="Times New Roman"/>
          <w:b w:val="0"/>
          <w:i w:val="0"/>
          <w:sz w:val="26"/>
        </w:rPr>
        <w:t xml:space="preserve">   Theo thông tin điều tra ban đầu được Báo Điện tử Chính phủ dẫn lại, Nguyễn Tiến Đạt thỏa thuận mua sản phẩm Đông y “Xương khớp bà Sáu” của Phùng Thị Nguyệt Ánh, Giám đốc Công ty TNHH Dược liệu Nguyệt Ánh, với giá </w:t>
      </w:r>
      <w:r>
        <w:rPr>
          <w:rFonts w:ascii="Times New Roman" w:hAnsi="Times New Roman" w:eastAsia="Times New Roman"/>
          <w:b/>
          <w:i w:val="0"/>
          <w:sz w:val="26"/>
        </w:rPr>
        <w:t>23.000 đồng/sản phẩm</w:t>
      </w:r>
      <w:r>
        <w:rPr>
          <w:rFonts w:ascii="Times New Roman" w:hAnsi="Times New Roman" w:eastAsia="Times New Roman"/>
          <w:b w:val="0"/>
          <w:i w:val="0"/>
          <w:sz w:val="26"/>
        </w:rPr>
        <w:t xml:space="preserve"> [8].</w:t>
      </w:r>
    </w:p>
    <w:p>
      <w:pPr>
        <w:pStyle w:val="ListNumber"/>
        <w:ind w:firstLine="0"/>
        <w:jc w:val="both"/>
      </w:pPr>
      <w:r>
        <w:rPr>
          <w:rFonts w:ascii="Times New Roman" w:hAnsi="Times New Roman" w:eastAsia="Times New Roman"/>
          <w:b/>
          <w:i w:val="0"/>
          <w:sz w:val="26"/>
        </w:rPr>
        <w:t>Tiếp thị qua không gian mạng với nội dung sai lệch:</w:t>
      </w:r>
    </w:p>
    <w:p>
      <w:pPr>
        <w:ind w:firstLine="709"/>
        <w:jc w:val="both"/>
      </w:pPr>
      <w:r>
        <w:rPr>
          <w:rFonts w:ascii="Times New Roman" w:hAnsi="Times New Roman" w:eastAsia="Times New Roman"/>
          <w:b w:val="0"/>
          <w:i w:val="0"/>
          <w:sz w:val="26"/>
        </w:rPr>
        <w:t xml:space="preserve">   Bài báo nêu Đạt chỉ đạo dùng bài viết, hình ảnh và video có hình người nổi tiếng đã được chỉnh sửa, cắt ghép; đồng thời đưa nội dung phóng đại, sai lệch về công dụng, chất lượng sản phẩm để tạo niềm tin và thúc đẩy khách hàng mua hàng. Nguồn chỉ xác định phương tiện là mạng xã hội; không xác định Facebook, TikTok, bác sĩ hoặc chuyên gia cụ thể [8].</w:t>
      </w:r>
    </w:p>
    <w:p>
      <w:pPr>
        <w:pStyle w:val="ListNumber"/>
        <w:ind w:firstLine="0"/>
        <w:jc w:val="both"/>
      </w:pPr>
      <w:r>
        <w:rPr>
          <w:rFonts w:ascii="Times New Roman" w:hAnsi="Times New Roman" w:eastAsia="Times New Roman"/>
          <w:b/>
          <w:i w:val="0"/>
          <w:sz w:val="26"/>
        </w:rPr>
        <w:t>Bán hàng và phân phối:</w:t>
      </w:r>
    </w:p>
    <w:p>
      <w:pPr>
        <w:ind w:firstLine="709"/>
        <w:jc w:val="both"/>
      </w:pPr>
      <w:r>
        <w:rPr>
          <w:rFonts w:ascii="Times New Roman" w:hAnsi="Times New Roman" w:eastAsia="Times New Roman"/>
          <w:b w:val="0"/>
          <w:i w:val="0"/>
          <w:sz w:val="26"/>
        </w:rPr>
        <w:t xml:space="preserve">   Nguồn nêu giá bán là </w:t>
      </w:r>
      <w:r>
        <w:rPr>
          <w:rFonts w:ascii="Times New Roman" w:hAnsi="Times New Roman" w:eastAsia="Times New Roman"/>
          <w:b/>
          <w:i w:val="0"/>
          <w:sz w:val="26"/>
        </w:rPr>
        <w:t>199.000 đồng/sản phẩm</w:t>
      </w:r>
      <w:r>
        <w:rPr>
          <w:rFonts w:ascii="Times New Roman" w:hAnsi="Times New Roman" w:eastAsia="Times New Roman"/>
          <w:b w:val="0"/>
          <w:i w:val="0"/>
          <w:sz w:val="26"/>
        </w:rPr>
        <w:t xml:space="preserve"> và Đạt chuyển đơn hàng cho Ánh đóng gói, giao đến khách hàng. Không suy diễn phương thức thu tiền hộ (COD) hoặc nền tảng cụ thể khi nguồn không nêu [8].</w:t>
      </w:r>
    </w:p>
    <w:p>
      <w:pPr>
        <w:spacing w:line="240" w:lineRule="auto"/>
        <w:ind w:left="283" w:firstLine="0"/>
      </w:pPr>
      <w:r>
        <w:rPr>
          <w:rFonts w:ascii="Times New Roman" w:hAnsi="Times New Roman" w:eastAsia="Times New Roman"/>
          <w:b w:val="0"/>
          <w:i w:val="0"/>
          <w:sz w:val="18"/>
        </w:rPr>
        <w:t>┌────────────────────────────────┐</w:t>
        <w:br/>
        <w:t>│  Cung ứng sản phẩm thô/gốc     │ (Công ty Dược liệu Nguyệt Ánh - 23.000đ/sp)</w:t>
        <w:br/>
        <w:t>└───────────────┬────────────────┘</w:t>
        <w:br/>
        <w:t xml:space="preserve">                │</w:t>
        <w:br/>
        <w:t xml:space="preserve">                ▼</w:t>
        <w:br/>
        <w:t>┌────────────────────────────────┐</w:t>
        <w:br/>
        <w:t>│   Tổ chức &amp; Quản lý bán hàng   │ (Nguyễn Tiến Đạt - Điều hành chung)</w:t>
        <w:br/>
        <w:t>└───────────────┬────────────────┘</w:t>
        <w:br/>
        <w:t xml:space="preserve">                │</w:t>
        <w:br/>
        <w:t xml:space="preserve">        ┌───────┴────────────────────────┐</w:t>
        <w:br/>
        <w:t xml:space="preserve">        ▼                                ▼</w:t>
        <w:br/>
        <w:t>┌──────────────────────────────┐ ┌──────────────────────────────┐</w:t>
        <w:br/>
        <w:t>│  Nhóm Kỹ thuật / Marketing   │ │  Nhóm Bán hàng &amp; Vận đơn     │</w:t>
        <w:br/>
        <w:t>│ - Cắt ghép video, hình ảnh   │ │ - Tư vấn chốt đơn hàng       │</w:t>
        <w:br/>
        <w:t>│ - Quảng cáo sai lệch          │ │ - Đóng gói, chuyển đơn       │</w:t>
        <w:br/>
        <w:t>└───────────────┬──────────────┘ └──────────────┬───────────────┘</w:t>
        <w:br/>
        <w:t xml:space="preserve">                │                               │</w:t>
        <w:br/>
        <w:t xml:space="preserve">                └───────────────┬───────────────┘</w:t>
        <w:br/>
        <w:t xml:space="preserve">                                │</w:t>
        <w:br/>
        <w:t xml:space="preserve">                                ▼</w:t>
        <w:br/>
        <w:t>┌───────────────────────────────────────────────────────────────┐</w:t>
        <w:br/>
        <w:t>│     5.429 đơn hàng giao dịch thành công (Giá: 199.000đ/sp)    │</w:t>
        <w:br/>
        <w:t>│     Tổng giá trị tiền hàng ghi nhận: Hơn 2,67 tỷ đồng         │</w:t>
        <w:br/>
        <w:t>└───────────────────────────────────────────────────────────────┘</w:t>
      </w:r>
    </w:p>
    <w:p>
      <w:pPr>
        <w:pStyle w:val="Heading2"/>
        <w:ind w:firstLine="0"/>
        <w:jc w:val="center"/>
      </w:pPr>
      <w:r>
        <w:rPr>
          <w:rFonts w:ascii="Times New Roman" w:hAnsi="Times New Roman" w:eastAsia="Times New Roman"/>
          <w:b w:val="0"/>
          <w:i w:val="0"/>
          <w:sz w:val="30"/>
        </w:rPr>
        <w:t>2.3. Các chủ thể liên quan và phân công vai trò</w:t>
      </w:r>
    </w:p>
    <w:p>
      <w:pPr>
        <w:ind w:firstLine="709"/>
        <w:jc w:val="both"/>
      </w:pPr>
      <w:r>
        <w:rPr>
          <w:rFonts w:ascii="Times New Roman" w:hAnsi="Times New Roman" w:eastAsia="Times New Roman"/>
          <w:b w:val="0"/>
          <w:i w:val="0"/>
          <w:sz w:val="26"/>
        </w:rPr>
        <w:t>Kết quả điều tra ban đầu xác định có 21 cá nhân bị khởi tố, với sự phân công vai trò bước đầu như sau:</w:t>
      </w:r>
    </w:p>
    <w:p>
      <w:pPr>
        <w:pStyle w:val="ListBullet"/>
        <w:ind w:firstLine="0"/>
        <w:jc w:val="both"/>
      </w:pPr>
      <w:r>
        <w:rPr>
          <w:rFonts w:ascii="Times New Roman" w:hAnsi="Times New Roman" w:eastAsia="Times New Roman"/>
          <w:b/>
          <w:i w:val="0"/>
          <w:sz w:val="26"/>
        </w:rPr>
        <w:t>Người tổ chức theo thông tin điều tra ban đầu:</w:t>
      </w:r>
      <w:r>
        <w:rPr>
          <w:rFonts w:ascii="Times New Roman" w:hAnsi="Times New Roman" w:eastAsia="Times New Roman"/>
          <w:b w:val="0"/>
          <w:i w:val="0"/>
          <w:sz w:val="26"/>
        </w:rPr>
        <w:t xml:space="preserve"> Nguyễn Tiến Đạt (sinh năm 1997, trú tại Hà Nội), người bài báo nêu đã thỏa thuận giá mua, chỉ đạo nội dung quảng cáo và tổ chức nhân sự.</w:t>
      </w:r>
    </w:p>
    <w:p>
      <w:pPr>
        <w:pStyle w:val="ListBullet"/>
        <w:ind w:firstLine="0"/>
        <w:jc w:val="both"/>
      </w:pPr>
      <w:r>
        <w:rPr>
          <w:rFonts w:ascii="Times New Roman" w:hAnsi="Times New Roman" w:eastAsia="Times New Roman"/>
          <w:b/>
          <w:i w:val="0"/>
          <w:sz w:val="26"/>
        </w:rPr>
        <w:t>Người liên quan đến nguồn hàng:</w:t>
      </w:r>
      <w:r>
        <w:rPr>
          <w:rFonts w:ascii="Times New Roman" w:hAnsi="Times New Roman" w:eastAsia="Times New Roman"/>
          <w:b w:val="0"/>
          <w:i w:val="0"/>
          <w:sz w:val="26"/>
        </w:rPr>
        <w:t xml:space="preserve"> Phùng Thị Nguyệt Ánh (Giám đốc Công ty TNHH Dược liệu Nguyệt Ánh). Nguồn cho biết cơ quan điều tra còn làm rõ dấu hiệu vi phạm và mức độ hành vi của Ánh; không xác định Ánh là một trong 21 bị can.</w:t>
      </w:r>
    </w:p>
    <w:p>
      <w:pPr>
        <w:pStyle w:val="ListBullet"/>
        <w:ind w:firstLine="0"/>
        <w:jc w:val="both"/>
      </w:pPr>
      <w:r>
        <w:rPr>
          <w:rFonts w:ascii="Times New Roman" w:hAnsi="Times New Roman" w:eastAsia="Times New Roman"/>
          <w:b/>
          <w:i w:val="0"/>
          <w:sz w:val="26"/>
        </w:rPr>
        <w:t>Các nhóm nhân sự được nguồn nêu:</w:t>
      </w:r>
      <w:r>
        <w:rPr>
          <w:rFonts w:ascii="Times New Roman" w:hAnsi="Times New Roman" w:eastAsia="Times New Roman"/>
          <w:b w:val="0"/>
          <w:i w:val="0"/>
          <w:sz w:val="26"/>
        </w:rPr>
        <w:t xml:space="preserve"> nhân sự, marketing, bán hàng, vận đơn, đóng hàng và chuyển đơn. Mức độ tham gia và nhận thức của từng người chưa được công khai chi tiết.</w:t>
      </w:r>
    </w:p>
    <w:p>
      <w:pPr>
        <w:pStyle w:val="Heading2"/>
        <w:ind w:firstLine="0"/>
        <w:jc w:val="center"/>
      </w:pPr>
      <w:r>
        <w:rPr>
          <w:rFonts w:ascii="Times New Roman" w:hAnsi="Times New Roman" w:eastAsia="Times New Roman"/>
          <w:b w:val="0"/>
          <w:i w:val="0"/>
          <w:sz w:val="30"/>
        </w:rPr>
        <w:t>2.4. Trạng thái tố tụng hiện tại</w:t>
      </w:r>
    </w:p>
    <w:p>
      <w:pPr>
        <w:pStyle w:val="ListBullet"/>
        <w:ind w:firstLine="0"/>
        <w:jc w:val="both"/>
      </w:pPr>
      <w:r>
        <w:rPr>
          <w:rFonts w:ascii="Times New Roman" w:hAnsi="Times New Roman" w:eastAsia="Times New Roman"/>
          <w:b w:val="0"/>
          <w:i w:val="0"/>
          <w:sz w:val="26"/>
        </w:rPr>
        <w:t xml:space="preserve">Ngày 31/7/2026: Cơ quan CSĐT Công an tỉnh Phú Thọ triệu tập, khám xét khẩn cấp nơi ở, nơi làm việc của một số người liên quan; bài báo liệt kê tang vật và cho biết cơ quan công an </w:t>
      </w:r>
      <w:r>
        <w:rPr>
          <w:rFonts w:ascii="Times New Roman" w:hAnsi="Times New Roman" w:eastAsia="Times New Roman"/>
          <w:b/>
          <w:i w:val="0"/>
          <w:sz w:val="26"/>
        </w:rPr>
        <w:t>tạm giữ</w:t>
      </w:r>
      <w:r>
        <w:rPr>
          <w:rFonts w:ascii="Times New Roman" w:hAnsi="Times New Roman" w:eastAsia="Times New Roman"/>
          <w:b w:val="0"/>
          <w:i w:val="0"/>
          <w:sz w:val="26"/>
        </w:rPr>
        <w:t xml:space="preserve"> hơn </w:t>
      </w:r>
      <w:r>
        <w:rPr>
          <w:rFonts w:ascii="Times New Roman" w:hAnsi="Times New Roman" w:eastAsia="Times New Roman"/>
          <w:b/>
          <w:i w:val="0"/>
          <w:sz w:val="26"/>
        </w:rPr>
        <w:t>1,77 tỷ đồng</w:t>
      </w:r>
      <w:r>
        <w:rPr>
          <w:rFonts w:ascii="Times New Roman" w:hAnsi="Times New Roman" w:eastAsia="Times New Roman"/>
          <w:b w:val="0"/>
          <w:i w:val="0"/>
          <w:sz w:val="26"/>
        </w:rPr>
        <w:t xml:space="preserve"> trong các tài khoản ngân hàng của Đạt và một số người liên quan [8].</w:t>
      </w:r>
    </w:p>
    <w:p>
      <w:pPr>
        <w:pStyle w:val="ListBullet"/>
        <w:ind w:firstLine="0"/>
        <w:jc w:val="both"/>
      </w:pPr>
      <w:r>
        <w:rPr>
          <w:rFonts w:ascii="Times New Roman" w:hAnsi="Times New Roman" w:eastAsia="Times New Roman"/>
          <w:b w:val="0"/>
          <w:i w:val="0"/>
          <w:sz w:val="26"/>
        </w:rPr>
        <w:t xml:space="preserve">Ngày 07/8/2026: Cơ quan CSĐT Công an tỉnh Phú Thọ ra quyết định khởi tố vụ án hình sự, khởi tố Nguyễn Tiến Đạt cùng 20 bị can về tội </w:t>
      </w:r>
      <w:r>
        <w:rPr>
          <w:rFonts w:ascii="Times New Roman" w:hAnsi="Times New Roman" w:eastAsia="Times New Roman"/>
          <w:b w:val="0"/>
          <w:i/>
          <w:sz w:val="26"/>
        </w:rPr>
        <w:t>“Lừa dối khách hàng”</w:t>
      </w:r>
      <w:r>
        <w:rPr>
          <w:rFonts w:ascii="Times New Roman" w:hAnsi="Times New Roman" w:eastAsia="Times New Roman"/>
          <w:b w:val="0"/>
          <w:i w:val="0"/>
          <w:sz w:val="26"/>
        </w:rPr>
        <w:t xml:space="preserve"> theo khoản 2 Điều 198 BLHS [8].</w:t>
      </w:r>
    </w:p>
    <w:p>
      <w:pPr>
        <w:pStyle w:val="ListBullet"/>
        <w:ind w:firstLine="0"/>
        <w:jc w:val="both"/>
      </w:pPr>
      <w:r>
        <w:rPr>
          <w:rFonts w:ascii="Times New Roman" w:hAnsi="Times New Roman" w:eastAsia="Times New Roman"/>
          <w:b w:val="0"/>
          <w:i w:val="0"/>
          <w:sz w:val="26"/>
        </w:rPr>
        <w:t>Vụ án hiện đang trong giai đoạn điều tra mở rộng nhằm xác minh chi tiết hành vi của từng bị can và chất lượng thực tế của sản phẩm.</w:t>
      </w:r>
    </w:p>
    <w:p>
      <w:pPr>
        <w:pStyle w:val="Heading2"/>
        <w:ind w:firstLine="0"/>
        <w:jc w:val="center"/>
      </w:pPr>
      <w:r>
        <w:rPr>
          <w:rFonts w:ascii="Times New Roman" w:hAnsi="Times New Roman" w:eastAsia="Times New Roman"/>
          <w:b w:val="0"/>
          <w:i w:val="0"/>
          <w:sz w:val="30"/>
        </w:rPr>
        <w:t>2.5. Bảng tổng hợp dữ kiện và dòng thời gian vụ việc</w:t>
      </w:r>
    </w:p>
    <w:p>
      <w:pPr>
        <w:pStyle w:val="Heading3"/>
        <w:ind w:firstLine="0"/>
        <w:jc w:val="left"/>
      </w:pPr>
      <w:r>
        <w:rPr>
          <w:rFonts w:ascii="Times New Roman" w:hAnsi="Times New Roman" w:eastAsia="Times New Roman"/>
          <w:b w:val="0"/>
          <w:i w:val="0"/>
          <w:sz w:val="28"/>
        </w:rPr>
        <w:t>Bảng tổng hợp dữ kiện chính</w:t>
      </w:r>
    </w:p>
    <w:tbl>
      <w:tblPr>
        <w:tblStyle w:val="TableGrid"/>
        <w:tblW w:type="auto" w:w="0"/>
        <w:jc w:val="center"/>
        <w:tblLook w:firstColumn="1" w:firstRow="1" w:lastColumn="0" w:lastRow="0" w:noHBand="0" w:noVBand="1" w:val="04A0"/>
      </w:tblPr>
      <w:tblGrid>
        <w:gridCol w:w="2986"/>
        <w:gridCol w:w="2986"/>
        <w:gridCol w:w="2986"/>
      </w:tblGrid>
      <w:tr>
        <w:tc>
          <w:tcPr>
            <w:tcW w:type="dxa" w:w="2986"/>
            <w:vAlign w:val="center"/>
          </w:tcPr>
          <w:p>
            <w:pPr>
              <w:spacing w:after="0"/>
              <w:jc w:val="center"/>
            </w:pPr>
            <w:r>
              <w:rPr>
                <w:b/>
              </w:rPr>
            </w:r>
            <w:r>
              <w:rPr>
                <w:rFonts w:ascii="Times New Roman" w:hAnsi="Times New Roman" w:eastAsia="Times New Roman"/>
                <w:b/>
                <w:i w:val="0"/>
                <w:sz w:val="18"/>
              </w:rPr>
              <w:t>Tiêu chí</w:t>
            </w:r>
          </w:p>
        </w:tc>
        <w:tc>
          <w:tcPr>
            <w:tcW w:type="dxa" w:w="2986"/>
            <w:vAlign w:val="center"/>
          </w:tcPr>
          <w:p>
            <w:pPr>
              <w:spacing w:after="0"/>
              <w:jc w:val="center"/>
            </w:pPr>
            <w:r>
              <w:rPr>
                <w:b/>
              </w:rPr>
            </w:r>
            <w:r>
              <w:rPr>
                <w:rFonts w:ascii="Times New Roman" w:hAnsi="Times New Roman" w:eastAsia="Times New Roman"/>
                <w:b/>
                <w:i w:val="0"/>
                <w:sz w:val="18"/>
              </w:rPr>
              <w:t>Dữ kiện xác minh từ nguồn chính thức</w:t>
            </w:r>
          </w:p>
        </w:tc>
        <w:tc>
          <w:tcPr>
            <w:tcW w:type="dxa" w:w="2986"/>
            <w:vAlign w:val="center"/>
          </w:tcPr>
          <w:p>
            <w:pPr>
              <w:spacing w:after="0"/>
              <w:jc w:val="center"/>
            </w:pPr>
            <w:r>
              <w:rPr>
                <w:b/>
              </w:rPr>
            </w:r>
            <w:r>
              <w:rPr>
                <w:rFonts w:ascii="Times New Roman" w:hAnsi="Times New Roman" w:eastAsia="Times New Roman"/>
                <w:b/>
                <w:i w:val="0"/>
                <w:sz w:val="18"/>
              </w:rPr>
              <w:t>Nguồn công bố</w:t>
            </w:r>
          </w:p>
        </w:tc>
      </w:tr>
      <w:tr>
        <w:tc>
          <w:tcPr>
            <w:tcW w:type="dxa" w:w="2986"/>
            <w:vAlign w:val="center"/>
          </w:tcPr>
          <w:p>
            <w:pPr>
              <w:spacing w:after="0"/>
              <w:jc w:val="left"/>
            </w:pPr>
            <w:r>
              <w:rPr/>
            </w:r>
            <w:r>
              <w:rPr>
                <w:rFonts w:ascii="Times New Roman" w:hAnsi="Times New Roman" w:eastAsia="Times New Roman"/>
                <w:b/>
                <w:i w:val="0"/>
                <w:sz w:val="18"/>
              </w:rPr>
              <w:t>Cơ quan thụ lý</w:t>
            </w:r>
          </w:p>
        </w:tc>
        <w:tc>
          <w:tcPr>
            <w:tcW w:type="dxa" w:w="2986"/>
            <w:vAlign w:val="center"/>
          </w:tcPr>
          <w:p>
            <w:pPr>
              <w:spacing w:after="0"/>
              <w:jc w:val="left"/>
            </w:pPr>
            <w:r>
              <w:rPr/>
            </w:r>
            <w:r>
              <w:rPr>
                <w:rFonts w:ascii="Times New Roman" w:hAnsi="Times New Roman" w:eastAsia="Times New Roman"/>
                <w:b w:val="0"/>
                <w:i w:val="0"/>
                <w:sz w:val="18"/>
              </w:rPr>
              <w:t>Cơ quan CSĐT Công an tỉnh Phú Thọ</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Quyết định tố tụng</w:t>
            </w:r>
          </w:p>
        </w:tc>
        <w:tc>
          <w:tcPr>
            <w:tcW w:type="dxa" w:w="2986"/>
            <w:vAlign w:val="center"/>
          </w:tcPr>
          <w:p>
            <w:pPr>
              <w:spacing w:after="0"/>
              <w:jc w:val="left"/>
            </w:pPr>
            <w:r>
              <w:rPr/>
            </w:r>
            <w:r>
              <w:rPr>
                <w:rFonts w:ascii="Times New Roman" w:hAnsi="Times New Roman" w:eastAsia="Times New Roman"/>
                <w:b w:val="0"/>
                <w:i w:val="0"/>
                <w:sz w:val="18"/>
              </w:rPr>
              <w:t>Khởi tố vụ án, khởi tố Đạt cùng 20 bị can</w:t>
            </w:r>
          </w:p>
        </w:tc>
        <w:tc>
          <w:tcPr>
            <w:tcW w:type="dxa" w:w="2986"/>
            <w:vAlign w:val="center"/>
          </w:tcPr>
          <w:p>
            <w:pPr>
              <w:spacing w:after="0"/>
              <w:jc w:val="left"/>
            </w:pPr>
            <w:r>
              <w:rPr/>
            </w:r>
            <w:r>
              <w:rPr>
                <w:rFonts w:ascii="Times New Roman" w:hAnsi="Times New Roman" w:eastAsia="Times New Roman"/>
                <w:b w:val="0"/>
                <w:i w:val="0"/>
                <w:sz w:val="18"/>
              </w:rPr>
              <w:t>07/8/2026, Báo Điện tử Chính phủ [8]</w:t>
            </w:r>
          </w:p>
        </w:tc>
      </w:tr>
      <w:tr>
        <w:tc>
          <w:tcPr>
            <w:tcW w:type="dxa" w:w="2986"/>
            <w:vAlign w:val="center"/>
          </w:tcPr>
          <w:p>
            <w:pPr>
              <w:spacing w:after="0"/>
              <w:jc w:val="left"/>
            </w:pPr>
            <w:r>
              <w:rPr/>
            </w:r>
            <w:r>
              <w:rPr>
                <w:rFonts w:ascii="Times New Roman" w:hAnsi="Times New Roman" w:eastAsia="Times New Roman"/>
                <w:b/>
                <w:i w:val="0"/>
                <w:sz w:val="18"/>
              </w:rPr>
              <w:t>Tội danh khởi tố</w:t>
            </w:r>
          </w:p>
        </w:tc>
        <w:tc>
          <w:tcPr>
            <w:tcW w:type="dxa" w:w="2986"/>
            <w:vAlign w:val="center"/>
          </w:tcPr>
          <w:p>
            <w:pPr>
              <w:spacing w:after="0"/>
              <w:jc w:val="left"/>
            </w:pPr>
            <w:r>
              <w:rPr/>
            </w:r>
            <w:r>
              <w:rPr>
                <w:rFonts w:ascii="Times New Roman" w:hAnsi="Times New Roman" w:eastAsia="Times New Roman"/>
                <w:b w:val="0"/>
                <w:i w:val="0"/>
                <w:sz w:val="18"/>
              </w:rPr>
              <w:t>Tội “Lừa dối khách hàng” (khoản 2 Điều 198 BLHS)</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Người tổ chức theo bài báo</w:t>
            </w:r>
          </w:p>
        </w:tc>
        <w:tc>
          <w:tcPr>
            <w:tcW w:type="dxa" w:w="2986"/>
            <w:vAlign w:val="center"/>
          </w:tcPr>
          <w:p>
            <w:pPr>
              <w:spacing w:after="0"/>
              <w:jc w:val="left"/>
            </w:pPr>
            <w:r>
              <w:rPr/>
            </w:r>
            <w:r>
              <w:rPr>
                <w:rFonts w:ascii="Times New Roman" w:hAnsi="Times New Roman" w:eastAsia="Times New Roman"/>
                <w:b w:val="0"/>
                <w:i w:val="0"/>
                <w:sz w:val="18"/>
              </w:rPr>
              <w:t>Nguyễn Tiến Đạt (sinh 1997, trú tại Hà Nội)</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Người liên quan</w:t>
            </w:r>
          </w:p>
        </w:tc>
        <w:tc>
          <w:tcPr>
            <w:tcW w:type="dxa" w:w="2986"/>
            <w:vAlign w:val="center"/>
          </w:tcPr>
          <w:p>
            <w:pPr>
              <w:spacing w:after="0"/>
              <w:jc w:val="left"/>
            </w:pPr>
            <w:r>
              <w:rPr/>
            </w:r>
            <w:r>
              <w:rPr>
                <w:rFonts w:ascii="Times New Roman" w:hAnsi="Times New Roman" w:eastAsia="Times New Roman"/>
                <w:b w:val="0"/>
                <w:i w:val="0"/>
                <w:sz w:val="18"/>
              </w:rPr>
              <w:t>Phùng Thị Nguyệt Ánh, Giám đốc Công ty TNHH Dược liệu Nguyệt Ánh; hành vi còn được làm rõ</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Sản phẩm liên quan</w:t>
            </w:r>
          </w:p>
        </w:tc>
        <w:tc>
          <w:tcPr>
            <w:tcW w:type="dxa" w:w="2986"/>
            <w:vAlign w:val="center"/>
          </w:tcPr>
          <w:p>
            <w:pPr>
              <w:spacing w:after="0"/>
              <w:jc w:val="left"/>
            </w:pPr>
            <w:r>
              <w:rPr/>
            </w:r>
            <w:r>
              <w:rPr>
                <w:rFonts w:ascii="Times New Roman" w:hAnsi="Times New Roman" w:eastAsia="Times New Roman"/>
                <w:b w:val="0"/>
                <w:i w:val="0"/>
                <w:sz w:val="18"/>
              </w:rPr>
              <w:t>“Xương khớp bà Sáu” (sản phẩm Đông y)</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Mức giá được nêu</w:t>
            </w:r>
          </w:p>
        </w:tc>
        <w:tc>
          <w:tcPr>
            <w:tcW w:type="dxa" w:w="2986"/>
            <w:vAlign w:val="center"/>
          </w:tcPr>
          <w:p>
            <w:pPr>
              <w:spacing w:after="0"/>
              <w:jc w:val="left"/>
            </w:pPr>
            <w:r>
              <w:rPr/>
            </w:r>
            <w:r>
              <w:rPr>
                <w:rFonts w:ascii="Times New Roman" w:hAnsi="Times New Roman" w:eastAsia="Times New Roman"/>
                <w:b w:val="0"/>
                <w:i w:val="0"/>
                <w:sz w:val="18"/>
              </w:rPr>
              <w:t>23.000 đồng $\rightarrow$ 199.000 đồng/sản phẩm</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Quy mô đơn hàng</w:t>
            </w:r>
          </w:p>
        </w:tc>
        <w:tc>
          <w:tcPr>
            <w:tcW w:type="dxa" w:w="2986"/>
            <w:vAlign w:val="center"/>
          </w:tcPr>
          <w:p>
            <w:pPr>
              <w:spacing w:after="0"/>
              <w:jc w:val="left"/>
            </w:pPr>
            <w:r>
              <w:rPr/>
            </w:r>
            <w:r>
              <w:rPr>
                <w:rFonts w:ascii="Times New Roman" w:hAnsi="Times New Roman" w:eastAsia="Times New Roman"/>
                <w:b w:val="0"/>
                <w:i w:val="0"/>
                <w:sz w:val="18"/>
              </w:rPr>
              <w:t>5.429 đơn hàng thành công (tháng 5–7/2026)</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Tổng giá trị tiền hàng</w:t>
            </w:r>
          </w:p>
        </w:tc>
        <w:tc>
          <w:tcPr>
            <w:tcW w:type="dxa" w:w="2986"/>
            <w:vAlign w:val="center"/>
          </w:tcPr>
          <w:p>
            <w:pPr>
              <w:spacing w:after="0"/>
              <w:jc w:val="left"/>
            </w:pPr>
            <w:r>
              <w:rPr/>
            </w:r>
            <w:r>
              <w:rPr>
                <w:rFonts w:ascii="Times New Roman" w:hAnsi="Times New Roman" w:eastAsia="Times New Roman"/>
                <w:b w:val="0"/>
                <w:i w:val="0"/>
                <w:sz w:val="18"/>
              </w:rPr>
              <w:t>Hơn 2,67 tỷ đồng</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Tiền tạm giữ</w:t>
            </w:r>
          </w:p>
        </w:tc>
        <w:tc>
          <w:tcPr>
            <w:tcW w:type="dxa" w:w="2986"/>
            <w:vAlign w:val="center"/>
          </w:tcPr>
          <w:p>
            <w:pPr>
              <w:spacing w:after="0"/>
              <w:jc w:val="left"/>
            </w:pPr>
            <w:r>
              <w:rPr/>
            </w:r>
            <w:r>
              <w:rPr>
                <w:rFonts w:ascii="Times New Roman" w:hAnsi="Times New Roman" w:eastAsia="Times New Roman"/>
                <w:b w:val="0"/>
                <w:i w:val="0"/>
                <w:sz w:val="18"/>
              </w:rPr>
              <w:t>Hơn 1,77 tỷ đồng trong tài khoản ngân hàng</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bl>
    <w:p>
      <w:pPr>
        <w:pStyle w:val="Heading3"/>
        <w:ind w:firstLine="0"/>
        <w:jc w:val="left"/>
      </w:pPr>
      <w:r>
        <w:rPr>
          <w:rFonts w:ascii="Times New Roman" w:hAnsi="Times New Roman" w:eastAsia="Times New Roman"/>
          <w:b w:val="0"/>
          <w:i w:val="0"/>
          <w:sz w:val="28"/>
        </w:rPr>
        <w:t>Dòng thời gian vụ việc</w:t>
      </w:r>
    </w:p>
    <w:p>
      <w:pPr>
        <w:spacing w:line="240" w:lineRule="auto"/>
        <w:ind w:left="283" w:firstLine="0"/>
      </w:pPr>
      <w:r>
        <w:rPr>
          <w:rFonts w:ascii="Times New Roman" w:hAnsi="Times New Roman" w:eastAsia="Times New Roman"/>
          <w:b w:val="0"/>
          <w:i w:val="0"/>
          <w:sz w:val="18"/>
        </w:rPr>
        <w:t xml:space="preserve">  [25/05/2026]             [05/2026 - 07/2026]          [31/07/2026]              [07/08/2026]</w:t>
        <w:br/>
        <w:t xml:space="preserve">         │                          │                         │                         │</w:t>
        <w:br/>
        <w:t xml:space="preserve">         ▼                          ▼                         ▼                         ▼</w:t>
        <w:br/>
        <w:t>Tiếp nhận, xác minh nguồn Bán 5.429 đơn hàng;            Khám xét khẩn cấp;        Khởi tố vụ án và Đạt</w:t>
        <w:br/>
        <w:t>tin về tội phạm           Tổng giá trị tiền hàng          tạm giữ tang vật và       cùng 20 bị can về “Lừa</w:t>
        <w:br/>
        <w:t xml:space="preserve">                          hơn 2,67 tỷ đồng                hơn 1,77 tỷ đồng          dối khách hàng” (Đ198)</w:t>
      </w:r>
    </w:p>
    <w:p>
      <w:pPr>
        <w:pStyle w:val="Heading1"/>
        <w:ind w:firstLine="0"/>
        <w:jc w:val="center"/>
      </w:pPr>
      <w:r>
        <w:rPr>
          <w:rFonts w:ascii="Times New Roman" w:hAnsi="Times New Roman" w:eastAsia="Times New Roman"/>
          <w:b w:val="0"/>
          <w:i w:val="0"/>
          <w:sz w:val="32"/>
        </w:rPr>
        <w:t>CHƯƠNG 3: PHÂN TÍCH CÁC YẾU TỐ CẤU THÀNH VI PHẠM PHÁP LUẬT TRONG VỤ VIỆC</w:t>
      </w:r>
    </w:p>
    <w:p>
      <w:pPr>
        <w:ind w:firstLine="709"/>
        <w:jc w:val="both"/>
      </w:pPr>
      <w:r>
        <w:rPr>
          <w:rFonts w:ascii="Times New Roman" w:hAnsi="Times New Roman" w:eastAsia="Times New Roman"/>
          <w:b w:val="0"/>
          <w:i w:val="0"/>
          <w:sz w:val="26"/>
        </w:rPr>
        <w:t>Chương 3 vận dụng khung lý thuyết cấu thành vi phạm pháp luật của môn Pháp luật đại cương để phân tích có hệ thống bốn yếu tố: Khách thể, Mặt khách quan, Chủ thể và Mặt chủ quan trong vụ việc được khởi tố tại Phú Thọ.</w:t>
      </w:r>
    </w:p>
    <w:p>
      <w:pPr>
        <w:pStyle w:val="Heading2"/>
        <w:ind w:firstLine="0"/>
        <w:jc w:val="center"/>
      </w:pPr>
      <w:r>
        <w:rPr>
          <w:rFonts w:ascii="Times New Roman" w:hAnsi="Times New Roman" w:eastAsia="Times New Roman"/>
          <w:b w:val="0"/>
          <w:i w:val="0"/>
          <w:sz w:val="30"/>
        </w:rPr>
        <w:t>3.1. Phân tích yếu tố Khách thể của vi phạm pháp luật</w:t>
      </w:r>
    </w:p>
    <w:p>
      <w:pPr>
        <w:pStyle w:val="Heading3"/>
        <w:ind w:firstLine="0"/>
        <w:jc w:val="left"/>
      </w:pPr>
      <w:r>
        <w:rPr>
          <w:rFonts w:ascii="Times New Roman" w:hAnsi="Times New Roman" w:eastAsia="Times New Roman"/>
          <w:b w:val="0"/>
          <w:i w:val="0"/>
          <w:sz w:val="28"/>
        </w:rPr>
        <w:t>3.1.1. Cơ sở lý luận áp dụng</w:t>
      </w:r>
    </w:p>
    <w:p>
      <w:pPr>
        <w:ind w:firstLine="709"/>
        <w:jc w:val="both"/>
      </w:pPr>
      <w:r>
        <w:rPr>
          <w:rFonts w:ascii="Times New Roman" w:hAnsi="Times New Roman" w:eastAsia="Times New Roman"/>
          <w:b w:val="0"/>
          <w:i w:val="0"/>
          <w:sz w:val="26"/>
        </w:rPr>
        <w:t>Khách thể của vi phạm pháp luật là những quan hệ xã hội được pháp luật xác lập và bảo vệ nhưng bị hành vi trái pháp luật xâm hại. Trong hoạt động thương mại và tiếp thị sản phẩm chăm sóc sức khỏe, pháp luật bảo vệ trật tự quản lý thị trường, quyền và lợi ích hợp pháp của người tiêu dùng, cũng như quyền nhân thân của công dân đối với hình ảnh cá nhân.</w:t>
      </w:r>
    </w:p>
    <w:p>
      <w:pPr>
        <w:pStyle w:val="Heading3"/>
        <w:ind w:firstLine="0"/>
        <w:jc w:val="left"/>
      </w:pPr>
      <w:r>
        <w:rPr>
          <w:rFonts w:ascii="Times New Roman" w:hAnsi="Times New Roman" w:eastAsia="Times New Roman"/>
          <w:b w:val="0"/>
          <w:i w:val="0"/>
          <w:sz w:val="28"/>
        </w:rPr>
        <w:t>3.1.2. Dữ kiện thực tế ghi nhận</w:t>
      </w:r>
    </w:p>
    <w:p>
      <w:pPr>
        <w:pStyle w:val="ListBullet"/>
        <w:ind w:firstLine="0"/>
        <w:jc w:val="both"/>
      </w:pPr>
      <w:r>
        <w:rPr>
          <w:rFonts w:ascii="Times New Roman" w:hAnsi="Times New Roman" w:eastAsia="Times New Roman"/>
          <w:b w:val="0"/>
          <w:i w:val="0"/>
          <w:sz w:val="26"/>
        </w:rPr>
        <w:t>Sản phẩm Đông y được bài báo nêu có giá mua 23.000 đồng và giá bán 199.000 đồng/sản phẩm.</w:t>
      </w:r>
    </w:p>
    <w:p>
      <w:pPr>
        <w:pStyle w:val="ListBullet"/>
        <w:ind w:firstLine="0"/>
        <w:jc w:val="both"/>
      </w:pPr>
      <w:r>
        <w:rPr>
          <w:rFonts w:ascii="Times New Roman" w:hAnsi="Times New Roman" w:eastAsia="Times New Roman"/>
          <w:b w:val="0"/>
          <w:i w:val="0"/>
          <w:sz w:val="26"/>
        </w:rPr>
        <w:t>Hình ảnh, video của người nổi tiếng được chỉnh sửa, cắt ghép, cùng nội dung phóng đại, sai lệch về công dụng, chất lượng.</w:t>
      </w:r>
    </w:p>
    <w:p>
      <w:pPr>
        <w:pStyle w:val="ListBullet"/>
        <w:ind w:firstLine="0"/>
        <w:jc w:val="both"/>
      </w:pPr>
      <w:r>
        <w:rPr>
          <w:rFonts w:ascii="Times New Roman" w:hAnsi="Times New Roman" w:eastAsia="Times New Roman"/>
          <w:b w:val="0"/>
          <w:i w:val="0"/>
          <w:sz w:val="26"/>
        </w:rPr>
        <w:t>Có 5.429 đơn hàng thành công trên phạm vi cả nước, với tổng giá trị tiền hàng hơn 2,67 tỷ đồng [8].</w:t>
      </w:r>
    </w:p>
    <w:p>
      <w:pPr>
        <w:pStyle w:val="Heading3"/>
        <w:ind w:firstLine="0"/>
        <w:jc w:val="left"/>
      </w:pPr>
      <w:r>
        <w:rPr>
          <w:rFonts w:ascii="Times New Roman" w:hAnsi="Times New Roman" w:eastAsia="Times New Roman"/>
          <w:b w:val="0"/>
          <w:i w:val="0"/>
          <w:sz w:val="28"/>
        </w:rPr>
        <w:t>3.1.3. Phân tích pháp lý chi tiết</w:t>
      </w:r>
    </w:p>
    <w:p>
      <w:pPr>
        <w:ind w:firstLine="709"/>
        <w:jc w:val="both"/>
      </w:pPr>
      <w:r>
        <w:rPr>
          <w:rFonts w:ascii="Times New Roman" w:hAnsi="Times New Roman" w:eastAsia="Times New Roman"/>
          <w:b w:val="0"/>
          <w:i w:val="0"/>
          <w:sz w:val="26"/>
        </w:rPr>
        <w:t>Hành vi bị cáo buộc của các đối tượng đã xâm hại đồng thời các nhóm quan hệ xã hội sau:</w:t>
      </w:r>
    </w:p>
    <w:p>
      <w:pPr>
        <w:pStyle w:val="ListNumber"/>
        <w:ind w:firstLine="0"/>
        <w:jc w:val="both"/>
      </w:pPr>
      <w:r>
        <w:rPr>
          <w:rFonts w:ascii="Times New Roman" w:hAnsi="Times New Roman" w:eastAsia="Times New Roman"/>
          <w:b/>
          <w:i w:val="0"/>
          <w:sz w:val="26"/>
        </w:rPr>
        <w:t>Trật tự quản lý hành chính nhà nước về hoạt động quảng cáo và thương mại:</w:t>
      </w:r>
    </w:p>
    <w:p>
      <w:pPr>
        <w:ind w:firstLine="709"/>
        <w:jc w:val="both"/>
      </w:pPr>
      <w:r>
        <w:rPr>
          <w:rFonts w:ascii="Times New Roman" w:hAnsi="Times New Roman" w:eastAsia="Times New Roman"/>
          <w:b w:val="0"/>
          <w:i w:val="0"/>
          <w:sz w:val="26"/>
        </w:rPr>
        <w:t xml:space="preserve">   Nhà nước ban hành các quy chuẩn pháp lý nhằm bảo đảm tính minh bạch, cạnh tranh lành mạnh trên thị trường. Nếu các dữ kiện công khai được làm rõ trong tố tụng, việc đưa thông tin sai lệch về công dụng, chất lượng hàng hóa và dùng hình ảnh cá nhân không được đồng ý có dấu hiệu trái với Điều 8 Luật Quảng cáo theo văn bản hợp nhất hiện hành, làm ảnh hưởng trật tự lưu thông hàng hóa.</w:t>
      </w:r>
    </w:p>
    <w:p>
      <w:pPr>
        <w:pStyle w:val="ListNumber"/>
        <w:ind w:firstLine="0"/>
        <w:jc w:val="both"/>
      </w:pPr>
      <w:r>
        <w:rPr>
          <w:rFonts w:ascii="Times New Roman" w:hAnsi="Times New Roman" w:eastAsia="Times New Roman"/>
          <w:b/>
          <w:i w:val="0"/>
          <w:sz w:val="26"/>
        </w:rPr>
        <w:t>Quyền và lợi ích hợp pháp của người tiêu dùng:</w:t>
      </w:r>
    </w:p>
    <w:p>
      <w:pPr>
        <w:ind w:firstLine="709"/>
        <w:jc w:val="both"/>
      </w:pPr>
      <w:r>
        <w:rPr>
          <w:rFonts w:ascii="Times New Roman" w:hAnsi="Times New Roman" w:eastAsia="Times New Roman"/>
          <w:b w:val="0"/>
          <w:i w:val="0"/>
          <w:sz w:val="26"/>
        </w:rPr>
        <w:t xml:space="preserve">   Căn cứ </w:t>
      </w:r>
      <w:r>
        <w:rPr>
          <w:rFonts w:ascii="Times New Roman" w:hAnsi="Times New Roman" w:eastAsia="Times New Roman"/>
          <w:b/>
          <w:i w:val="0"/>
          <w:sz w:val="26"/>
        </w:rPr>
        <w:t>Điều 10 Luật Bảo vệ quyền lợi người tiêu dùng năm 2023</w:t>
      </w:r>
      <w:r>
        <w:rPr>
          <w:rFonts w:ascii="Times New Roman" w:hAnsi="Times New Roman" w:eastAsia="Times New Roman"/>
          <w:b w:val="0"/>
          <w:i w:val="0"/>
          <w:sz w:val="26"/>
        </w:rPr>
        <w:t>, pháp luật nghiêm cấm hành vi lừa dối hoặc gây nhầm lẫn cho người tiêu dùng thông qua hoạt động cung cấp thông tin, quảng cáo. Người tiêu dùng có quyền được cung cấp thông tin trung thực, chính xác về công dụng và giá trị sản phẩm. Báo cáo không coi hậu quả sức khỏe hoặc việc trì hoãn điều trị là hậu quả đã được chứng minh trong vụ việc, vì nguồn công khai chưa công bố kết luận y khoa.</w:t>
      </w:r>
    </w:p>
    <w:p>
      <w:pPr>
        <w:pStyle w:val="ListNumber"/>
        <w:ind w:firstLine="0"/>
        <w:jc w:val="both"/>
      </w:pPr>
      <w:r>
        <w:rPr>
          <w:rFonts w:ascii="Times New Roman" w:hAnsi="Times New Roman" w:eastAsia="Times New Roman"/>
          <w:b/>
          <w:i w:val="0"/>
          <w:sz w:val="26"/>
        </w:rPr>
        <w:t>Quyền nhân thân về hình ảnh của cá nhân:</w:t>
      </w:r>
    </w:p>
    <w:p>
      <w:pPr>
        <w:ind w:firstLine="709"/>
        <w:jc w:val="both"/>
      </w:pPr>
      <w:r>
        <w:rPr>
          <w:rFonts w:ascii="Times New Roman" w:hAnsi="Times New Roman" w:eastAsia="Times New Roman"/>
          <w:b w:val="0"/>
          <w:i w:val="0"/>
          <w:sz w:val="26"/>
        </w:rPr>
        <w:t xml:space="preserve">   Theo quy định tại </w:t>
      </w:r>
      <w:r>
        <w:rPr>
          <w:rFonts w:ascii="Times New Roman" w:hAnsi="Times New Roman" w:eastAsia="Times New Roman"/>
          <w:b/>
          <w:i w:val="0"/>
          <w:sz w:val="26"/>
        </w:rPr>
        <w:t>Điều 32 Bộ luật Dân sự năm 2015</w:t>
      </w:r>
      <w:r>
        <w:rPr>
          <w:rFonts w:ascii="Times New Roman" w:hAnsi="Times New Roman" w:eastAsia="Times New Roman"/>
          <w:b w:val="0"/>
          <w:i w:val="0"/>
          <w:sz w:val="26"/>
        </w:rPr>
        <w:t>, việc sử dụng hình ảnh của cá nhân phải được người đó đồng ý. Bài báo nêu việc chỉnh sửa, cắt ghép hình ảnh, video của người nổi tiếng; việc có hay không sự đồng ý và mức độ xâm phạm quyền cụ thể còn phải được cơ quan có thẩm quyền xác định.</w:t>
      </w:r>
    </w:p>
    <w:p>
      <w:pPr>
        <w:spacing w:line="240" w:lineRule="auto"/>
        <w:ind w:left="283" w:firstLine="0"/>
      </w:pPr>
      <w:r>
        <w:rPr>
          <w:rFonts w:ascii="Times New Roman" w:hAnsi="Times New Roman" w:eastAsia="Times New Roman"/>
          <w:b w:val="0"/>
          <w:i w:val="0"/>
          <w:sz w:val="18"/>
        </w:rPr>
        <w:t>┌────────────────────────────────────────────────────────────────────────┐</w:t>
        <w:br/>
        <w:t>│ KHÁCH THỂ (Quan hệ xã hội được pháp luật bảo vệ)                       │</w:t>
        <w:br/>
        <w:t>│ - Trật tự quản lý nhà nước về hoạt động thương mại và quảng cáo.       │</w:t>
        <w:br/>
        <w:t>│ - Quyền được thông tin trung thực, an toàn sức khỏe và tài sản của NTD.│</w:t>
        <w:br/>
        <w:t>│ - Quyền nhân thân về hình ảnh của các cá nhân bị sử dụng không phép.   │</w:t>
        <w:br/>
        <w:t>└───────────────────────────────────┬────────────────────────────────────┘</w:t>
        <w:br/>
        <w:t xml:space="preserve">                                    │</w:t>
        <w:br/>
        <w:t xml:space="preserve">                                    ▼ tác động thông qua</w:t>
        <w:br/>
        <w:t>┌────────────────────────────────────────────────────────────────────────┐</w:t>
        <w:br/>
        <w:t>│ ĐỐI TƯỢNG TÁC ĐỘNG (Thực thể vật chất / Thông tin cụ thể)              │</w:t>
        <w:br/>
        <w:t>│ - Sản phẩm Đông y “Xương khớp bà Sáu”, nhãn mác, bao bì.               │</w:t>
        <w:br/>
        <w:t>│ - Video clip, bài viết tiếp thị mang nội dung sai sự thật trên mạng.   │</w:t>
        <w:br/>
        <w:t>│ - Dòng tiền từ 5.429 đơn hàng (hơn 2,67 tỷ đồng tiền hàng).            │</w:t>
        <w:br/>
        <w:t>└───────────────────────────────────┬────────────────────────────────────┘</w:t>
        <w:br/>
        <w:t xml:space="preserve">                                    │</w:t>
        <w:br/>
        <w:t xml:space="preserve">                                    ▼ gây ảnh hưởng đến</w:t>
        <w:br/>
        <w:t>┌────────────────────────────────────────────────────────────────────────┐</w:t>
        <w:br/>
        <w:t>│ CHỦ THỂ BỊ ẢNH HƯỞNG (Cá nhân tham gia quan hệ bị xâm hại)             │</w:t>
        <w:br/>
        <w:t>│ - Người tiêu dùng đặt mua sản phẩm qua 5.429 đơn hàng.                 │</w:t>
        <w:br/>
        <w:t>│ - Người nổi tiếng có hình ảnh, video được nêu là đã bị chỉnh sửa.      │</w:t>
        <w:br/>
        <w:t>└────────────────────────────────────────────────────────────────────────┘</w:t>
      </w:r>
    </w:p>
    <w:p>
      <w:pPr>
        <w:pStyle w:val="Heading3"/>
        <w:ind w:firstLine="0"/>
        <w:jc w:val="left"/>
      </w:pPr>
      <w:r>
        <w:rPr>
          <w:rFonts w:ascii="Times New Roman" w:hAnsi="Times New Roman" w:eastAsia="Times New Roman"/>
          <w:b w:val="0"/>
          <w:i w:val="0"/>
          <w:sz w:val="28"/>
        </w:rPr>
        <w:t>3.1.4. Nhận xét tiểu mục 3.1</w:t>
      </w:r>
    </w:p>
    <w:p>
      <w:pPr>
        <w:ind w:firstLine="709"/>
        <w:jc w:val="both"/>
      </w:pPr>
      <w:r>
        <w:rPr>
          <w:rFonts w:ascii="Times New Roman" w:hAnsi="Times New Roman" w:eastAsia="Times New Roman"/>
          <w:b w:val="0"/>
          <w:i w:val="0"/>
          <w:sz w:val="26"/>
        </w:rPr>
        <w:t>Việc xác định khách thể cho thấy tính chất nguy hại của vụ việc không chỉ dừng lại ở tranh chấp kinh tế thông thường, mà đã xâm phạm cùng lúc trật tự quản lý thương mại và quyền được bảo vệ an toàn thông tin, tài sản của cộng đồng người tiêu dùng trên không gian mạng.</w:t>
      </w:r>
    </w:p>
    <w:p>
      <w:pPr>
        <w:pStyle w:val="Heading2"/>
        <w:ind w:firstLine="0"/>
        <w:jc w:val="center"/>
      </w:pPr>
      <w:r>
        <w:rPr>
          <w:rFonts w:ascii="Times New Roman" w:hAnsi="Times New Roman" w:eastAsia="Times New Roman"/>
          <w:b w:val="0"/>
          <w:i w:val="0"/>
          <w:sz w:val="30"/>
        </w:rPr>
        <w:t>3.2. Phân tích yếu tố Mặt khách quan của vi phạm pháp luật</w:t>
      </w:r>
    </w:p>
    <w:p>
      <w:pPr>
        <w:pStyle w:val="Heading3"/>
        <w:ind w:firstLine="0"/>
        <w:jc w:val="left"/>
      </w:pPr>
      <w:r>
        <w:rPr>
          <w:rFonts w:ascii="Times New Roman" w:hAnsi="Times New Roman" w:eastAsia="Times New Roman"/>
          <w:b w:val="0"/>
          <w:i w:val="0"/>
          <w:sz w:val="28"/>
        </w:rPr>
        <w:t>3.2.1. Cơ sở lý luận áp dụng</w:t>
      </w:r>
    </w:p>
    <w:p>
      <w:pPr>
        <w:ind w:firstLine="709"/>
        <w:jc w:val="both"/>
      </w:pPr>
      <w:r>
        <w:rPr>
          <w:rFonts w:ascii="Times New Roman" w:hAnsi="Times New Roman" w:eastAsia="Times New Roman"/>
          <w:b w:val="0"/>
          <w:i w:val="0"/>
          <w:sz w:val="26"/>
        </w:rPr>
        <w:t>Mặt khách quan của vi phạm pháp luật thể hiện qua hành vi trái pháp luật, hậu quả nguy hiểm cho xã hội, mối liên hệ nhân quả giữa hành vi và hậu quả, cùng các điều kiện về công cụ, phương tiện, phương thức thực hiện.</w:t>
      </w:r>
    </w:p>
    <w:p>
      <w:pPr>
        <w:pStyle w:val="Heading3"/>
        <w:ind w:firstLine="0"/>
        <w:jc w:val="left"/>
      </w:pPr>
      <w:r>
        <w:rPr>
          <w:rFonts w:ascii="Times New Roman" w:hAnsi="Times New Roman" w:eastAsia="Times New Roman"/>
          <w:b w:val="0"/>
          <w:i w:val="0"/>
          <w:sz w:val="28"/>
        </w:rPr>
        <w:t>3.2.2. Dữ kiện thực tế ghi nhận</w:t>
      </w:r>
    </w:p>
    <w:p>
      <w:pPr>
        <w:pStyle w:val="ListBullet"/>
        <w:ind w:firstLine="0"/>
        <w:jc w:val="both"/>
      </w:pPr>
      <w:r>
        <w:rPr>
          <w:rFonts w:ascii="Times New Roman" w:hAnsi="Times New Roman" w:eastAsia="Times New Roman"/>
          <w:b w:val="0"/>
          <w:i w:val="0"/>
          <w:sz w:val="26"/>
        </w:rPr>
        <w:t>Thu mua sản phẩm với giá 23.000 đồng/hộp, bán ra với mức giá 199.000 đồng/hộp.</w:t>
      </w:r>
    </w:p>
    <w:p>
      <w:pPr>
        <w:pStyle w:val="ListBullet"/>
        <w:ind w:firstLine="0"/>
        <w:jc w:val="both"/>
      </w:pPr>
      <w:r>
        <w:rPr>
          <w:rFonts w:ascii="Times New Roman" w:hAnsi="Times New Roman" w:eastAsia="Times New Roman"/>
          <w:b w:val="0"/>
          <w:i w:val="0"/>
          <w:sz w:val="26"/>
        </w:rPr>
        <w:t>Chỉ đạo sử dụng bài viết, hình ảnh, video chỉnh sửa, cắt ghép hình người nổi tiếng và nội dung quảng cáo phóng đại, sai lệch trên mạng xã hội.</w:t>
      </w:r>
    </w:p>
    <w:p>
      <w:pPr>
        <w:pStyle w:val="ListBullet"/>
        <w:ind w:firstLine="0"/>
        <w:jc w:val="both"/>
      </w:pPr>
      <w:r>
        <w:rPr>
          <w:rFonts w:ascii="Times New Roman" w:hAnsi="Times New Roman" w:eastAsia="Times New Roman"/>
          <w:b w:val="0"/>
          <w:i w:val="0"/>
          <w:sz w:val="26"/>
        </w:rPr>
        <w:t>Bán thành công 5.429 đơn hàng từ tháng 5 đến tháng 7/2026 với tổng giá trị tiền hàng hơn 2,67 tỷ đồng; nguồn không nêu COD hoặc nền tảng cụ thể [8].</w:t>
      </w:r>
    </w:p>
    <w:p>
      <w:pPr>
        <w:pStyle w:val="Heading3"/>
        <w:ind w:firstLine="0"/>
        <w:jc w:val="left"/>
      </w:pPr>
      <w:r>
        <w:rPr>
          <w:rFonts w:ascii="Times New Roman" w:hAnsi="Times New Roman" w:eastAsia="Times New Roman"/>
          <w:b w:val="0"/>
          <w:i w:val="0"/>
          <w:sz w:val="28"/>
        </w:rPr>
        <w:t>3.2.3. Phân tích pháp lý chi tiết</w:t>
      </w:r>
    </w:p>
    <w:p>
      <w:pPr>
        <w:pStyle w:val="Heading4"/>
        <w:ind w:firstLine="0"/>
        <w:jc w:val="left"/>
      </w:pPr>
      <w:r>
        <w:rPr>
          <w:rFonts w:ascii="Times New Roman" w:hAnsi="Times New Roman" w:eastAsia="Times New Roman"/>
          <w:b w:val="0"/>
          <w:i w:val="0"/>
          <w:sz w:val="26"/>
        </w:rPr>
        <w:t>A. Hành vi trái pháp luật (Dạng hành động)</w:t>
      </w:r>
    </w:p>
    <w:p>
      <w:pPr>
        <w:pStyle w:val="ListNumber"/>
        <w:ind w:firstLine="0"/>
        <w:jc w:val="both"/>
      </w:pPr>
      <w:r>
        <w:rPr>
          <w:rFonts w:ascii="Times New Roman" w:hAnsi="Times New Roman" w:eastAsia="Times New Roman"/>
          <w:b/>
          <w:i w:val="0"/>
          <w:sz w:val="26"/>
        </w:rPr>
        <w:t>Hành vi quảng cáo sai sự thật về công dụng sản phẩm:</w:t>
      </w:r>
    </w:p>
    <w:p>
      <w:pPr>
        <w:ind w:firstLine="709"/>
        <w:jc w:val="both"/>
      </w:pPr>
      <w:r>
        <w:rPr>
          <w:rFonts w:ascii="Times New Roman" w:hAnsi="Times New Roman" w:eastAsia="Times New Roman"/>
          <w:b w:val="0"/>
          <w:i w:val="0"/>
          <w:sz w:val="26"/>
        </w:rPr>
        <w:t xml:space="preserve">   Theo thông tin ban đầu, nội dung quảng cáo bị nêu là phóng đại, sai lệch về công dụng, chất lượng. Đây là dữ kiện có thể được đối chiếu với </w:t>
      </w:r>
      <w:r>
        <w:rPr>
          <w:rFonts w:ascii="Times New Roman" w:hAnsi="Times New Roman" w:eastAsia="Times New Roman"/>
          <w:b/>
          <w:i w:val="0"/>
          <w:sz w:val="26"/>
        </w:rPr>
        <w:t>khoản 9 Điều 8 Luật Quảng cáo theo văn bản hợp nhất hiện hành</w:t>
      </w:r>
      <w:r>
        <w:rPr>
          <w:rFonts w:ascii="Times New Roman" w:hAnsi="Times New Roman" w:eastAsia="Times New Roman"/>
          <w:b w:val="0"/>
          <w:i w:val="0"/>
          <w:sz w:val="26"/>
        </w:rPr>
        <w:t>, cấm quảng cáo không đúng hoặc gây nhầm lẫn về chất lượng, giá, công dụng và các nội dung được liệt kê khác. Báo cáo không tự xác định sản phẩm thuộc bất kỳ nhóm hàng hóa chuyên ngành nào.</w:t>
      </w:r>
    </w:p>
    <w:p>
      <w:pPr>
        <w:pStyle w:val="ListNumber"/>
        <w:ind w:firstLine="0"/>
        <w:jc w:val="both"/>
      </w:pPr>
      <w:r>
        <w:rPr>
          <w:rFonts w:ascii="Times New Roman" w:hAnsi="Times New Roman" w:eastAsia="Times New Roman"/>
          <w:b/>
          <w:i w:val="0"/>
          <w:sz w:val="26"/>
        </w:rPr>
        <w:t>Dấu hiệu sử dụng hình ảnh, video của người nổi tiếng:</w:t>
      </w:r>
    </w:p>
    <w:p>
      <w:pPr>
        <w:ind w:firstLine="709"/>
        <w:jc w:val="both"/>
      </w:pPr>
      <w:r>
        <w:rPr>
          <w:rFonts w:ascii="Times New Roman" w:hAnsi="Times New Roman" w:eastAsia="Times New Roman"/>
          <w:b w:val="0"/>
          <w:i w:val="0"/>
          <w:sz w:val="26"/>
        </w:rPr>
        <w:t xml:space="preserve">   Nguồn nêu các hình ảnh, video này đã bị chỉnh sửa, cắt ghép. Điều 8 khoản 8 Luật Quảng cáo và Điều 32 BLDS là căn cứ tham chiếu; việc có sự đồng ý và trách nhiệm cụ thể vẫn cần được làm rõ.</w:t>
      </w:r>
    </w:p>
    <w:p>
      <w:pPr>
        <w:pStyle w:val="ListNumber"/>
        <w:ind w:firstLine="0"/>
        <w:jc w:val="both"/>
      </w:pPr>
      <w:r>
        <w:rPr>
          <w:rFonts w:ascii="Times New Roman" w:hAnsi="Times New Roman" w:eastAsia="Times New Roman"/>
          <w:b/>
          <w:i w:val="0"/>
          <w:sz w:val="26"/>
        </w:rPr>
        <w:t>Hành vi gian dối trong giao dịch thương mại nhằm thu lợi bất chính:</w:t>
      </w:r>
    </w:p>
    <w:p>
      <w:pPr>
        <w:ind w:firstLine="709"/>
        <w:jc w:val="both"/>
      </w:pPr>
      <w:r>
        <w:rPr>
          <w:rFonts w:ascii="Times New Roman" w:hAnsi="Times New Roman" w:eastAsia="Times New Roman"/>
          <w:b w:val="0"/>
          <w:i w:val="0"/>
          <w:sz w:val="26"/>
        </w:rPr>
        <w:t xml:space="preserve">   Cung cấp thông tin sai lệch về tính năng và giá trị sản phẩm trong quá trình giao dịch với khách hàng nhằm bán sản phẩm với giá cao. Dấu hiệu này bước đầu phù hợp với hành vi bị cấm quy định tại </w:t>
      </w:r>
      <w:r>
        <w:rPr>
          <w:rFonts w:ascii="Times New Roman" w:hAnsi="Times New Roman" w:eastAsia="Times New Roman"/>
          <w:b/>
          <w:i w:val="0"/>
          <w:sz w:val="26"/>
        </w:rPr>
        <w:t>Điều 198 Bộ luật Hình sự năm 2015 (sửa đổi, bổ sung năm 2017)</w:t>
      </w:r>
      <w:r>
        <w:rPr>
          <w:rFonts w:ascii="Times New Roman" w:hAnsi="Times New Roman" w:eastAsia="Times New Roman"/>
          <w:b w:val="0"/>
          <w:i w:val="0"/>
          <w:sz w:val="26"/>
        </w:rPr>
        <w:t xml:space="preserve"> về tội </w:t>
      </w:r>
      <w:r>
        <w:rPr>
          <w:rFonts w:ascii="Times New Roman" w:hAnsi="Times New Roman" w:eastAsia="Times New Roman"/>
          <w:b w:val="0"/>
          <w:i/>
          <w:sz w:val="26"/>
        </w:rPr>
        <w:t>"Lừa dối khách hàng"</w:t>
      </w:r>
      <w:r>
        <w:rPr>
          <w:rFonts w:ascii="Times New Roman" w:hAnsi="Times New Roman" w:eastAsia="Times New Roman"/>
          <w:b w:val="0"/>
          <w:i w:val="0"/>
          <w:sz w:val="26"/>
        </w:rPr>
        <w:t>.</w:t>
      </w:r>
    </w:p>
    <w:p>
      <w:pPr>
        <w:pStyle w:val="Heading4"/>
        <w:ind w:firstLine="0"/>
        <w:jc w:val="left"/>
      </w:pPr>
      <w:r>
        <w:rPr>
          <w:rFonts w:ascii="Times New Roman" w:hAnsi="Times New Roman" w:eastAsia="Times New Roman"/>
          <w:b w:val="0"/>
          <w:i w:val="0"/>
          <w:sz w:val="26"/>
        </w:rPr>
        <w:t>B. Hậu quả nguy hiểm cho xã hội</w:t>
      </w:r>
    </w:p>
    <w:p>
      <w:pPr>
        <w:pStyle w:val="ListBullet"/>
        <w:ind w:firstLine="0"/>
        <w:jc w:val="both"/>
      </w:pPr>
      <w:r>
        <w:rPr>
          <w:rFonts w:ascii="Times New Roman" w:hAnsi="Times New Roman" w:eastAsia="Times New Roman"/>
          <w:b/>
          <w:i w:val="0"/>
          <w:sz w:val="26"/>
        </w:rPr>
        <w:t>Hậu quả tài chính:</w:t>
      </w:r>
      <w:r>
        <w:rPr>
          <w:rFonts w:ascii="Times New Roman" w:hAnsi="Times New Roman" w:eastAsia="Times New Roman"/>
          <w:b w:val="0"/>
          <w:i w:val="0"/>
          <w:sz w:val="26"/>
        </w:rPr>
        <w:t xml:space="preserve"> Thực hiện 5.429 đơn hàng với tổng giá trị ghi nhận hơn 2,67 tỷ đồng.</w:t>
      </w:r>
    </w:p>
    <w:p>
      <w:pPr>
        <w:pStyle w:val="ListBullet"/>
        <w:ind w:firstLine="0"/>
        <w:jc w:val="both"/>
      </w:pPr>
      <w:r>
        <w:rPr>
          <w:rFonts w:ascii="Times New Roman" w:hAnsi="Times New Roman" w:eastAsia="Times New Roman"/>
          <w:b w:val="0"/>
          <w:i/>
          <w:sz w:val="26"/>
        </w:rPr>
        <w:t>Lưu ý về thuật ngữ tài chính:</w:t>
      </w:r>
      <w:r>
        <w:rPr>
          <w:rFonts w:ascii="Times New Roman" w:hAnsi="Times New Roman" w:eastAsia="Times New Roman"/>
          <w:b w:val="0"/>
          <w:i w:val="0"/>
          <w:sz w:val="26"/>
        </w:rPr>
        <w:t xml:space="preserve"> Nguồn gốc gọi đây là </w:t>
      </w:r>
      <w:r>
        <w:rPr>
          <w:rFonts w:ascii="Times New Roman" w:hAnsi="Times New Roman" w:eastAsia="Times New Roman"/>
          <w:b/>
          <w:i w:val="0"/>
          <w:sz w:val="26"/>
        </w:rPr>
        <w:t>tổng giá trị tiền hàng</w:t>
      </w:r>
      <w:r>
        <w:rPr>
          <w:rFonts w:ascii="Times New Roman" w:hAnsi="Times New Roman" w:eastAsia="Times New Roman"/>
          <w:b w:val="0"/>
          <w:i w:val="0"/>
          <w:sz w:val="26"/>
        </w:rPr>
        <w:t xml:space="preserve"> hơn 2,67 tỷ đồng. Số này không đồng nhất với thiệt hại thực tế của người mua, khoản thu lợi bất chính hay lợi nhuận; nguồn công khai chưa bóc tách các đại lượng đó.</w:t>
      </w:r>
    </w:p>
    <w:p>
      <w:pPr>
        <w:pStyle w:val="ListBullet"/>
        <w:ind w:firstLine="0"/>
        <w:jc w:val="both"/>
      </w:pPr>
      <w:r>
        <w:rPr>
          <w:rFonts w:ascii="Times New Roman" w:hAnsi="Times New Roman" w:eastAsia="Times New Roman"/>
          <w:b w:val="0"/>
          <w:i/>
          <w:sz w:val="26"/>
        </w:rPr>
        <w:t>Về cấu trúc Điều 198 BLHS:</w:t>
      </w:r>
      <w:r>
        <w:rPr>
          <w:rFonts w:ascii="Times New Roman" w:hAnsi="Times New Roman" w:eastAsia="Times New Roman"/>
          <w:b w:val="0"/>
          <w:i w:val="0"/>
          <w:sz w:val="26"/>
        </w:rPr>
        <w:t xml:space="preserve"> Ngưỡng định lượng để truy cứu trách nhiệm hình sự tại khoản 1 Điều 198 là thu lợi bất chính từ 5.000.000 đồng đến dưới 50.000.000 đồng (hoặc đã bị xử phạt hành chính/kết án chưa xóa án tích); khoản 2 quy định mức thu lợi bất chính từ 50.000.000 đồng trở lên hoặc có tổ chức.</w:t>
      </w:r>
    </w:p>
    <w:p>
      <w:pPr>
        <w:pStyle w:val="ListBullet"/>
        <w:ind w:firstLine="0"/>
        <w:jc w:val="both"/>
      </w:pPr>
      <w:r>
        <w:rPr>
          <w:rFonts w:ascii="Times New Roman" w:hAnsi="Times New Roman" w:eastAsia="Times New Roman"/>
          <w:b/>
          <w:i w:val="0"/>
          <w:sz w:val="26"/>
        </w:rPr>
        <w:t>Hậu quả phi vật chất:</w:t>
      </w:r>
      <w:r>
        <w:rPr>
          <w:rFonts w:ascii="Times New Roman" w:hAnsi="Times New Roman" w:eastAsia="Times New Roman"/>
          <w:b w:val="0"/>
          <w:i w:val="0"/>
          <w:sz w:val="26"/>
        </w:rPr>
        <w:t xml:space="preserve"> Gây nhầm lẫn cho người tiêu dùng về chất lượng sản phẩm, tiềm ẩn nguy cơ đối với sức khỏe nếu người bệnh chậm trễ tiếp cận điều trị y tế chính quy; làm ảnh hưởng đến uy tín của các cá nhân bị lợi dụng hình ảnh.</w:t>
      </w:r>
    </w:p>
    <w:p>
      <w:pPr>
        <w:pStyle w:val="Heading4"/>
        <w:ind w:firstLine="0"/>
        <w:jc w:val="left"/>
      </w:pPr>
      <w:r>
        <w:rPr>
          <w:rFonts w:ascii="Times New Roman" w:hAnsi="Times New Roman" w:eastAsia="Times New Roman"/>
          <w:b w:val="0"/>
          <w:i w:val="0"/>
          <w:sz w:val="26"/>
        </w:rPr>
        <w:t>C. Mối liên hệ nhân quả giữa hành vi và hậu quả</w:t>
      </w:r>
    </w:p>
    <w:p>
      <w:pPr>
        <w:pStyle w:val="ListBullet"/>
        <w:ind w:firstLine="0"/>
        <w:jc w:val="both"/>
      </w:pPr>
      <w:r>
        <w:rPr>
          <w:rFonts w:ascii="Times New Roman" w:hAnsi="Times New Roman" w:eastAsia="Times New Roman"/>
          <w:b w:val="0"/>
          <w:i w:val="0"/>
          <w:sz w:val="26"/>
        </w:rPr>
        <w:t>Bài báo cho biết mục đích được nêu của nội dung sai lệch là tạo niềm tin và thúc đẩy khách hàng mua hàng. Đây là cơ sở để phân tích khả năng có liên hệ giữa thông tin quảng cáo và quyết định mua.</w:t>
      </w:r>
    </w:p>
    <w:p>
      <w:pPr>
        <w:pStyle w:val="ListBullet"/>
        <w:ind w:firstLine="0"/>
        <w:jc w:val="both"/>
      </w:pPr>
      <w:r>
        <w:rPr>
          <w:rFonts w:ascii="Times New Roman" w:hAnsi="Times New Roman" w:eastAsia="Times New Roman"/>
          <w:b w:val="0"/>
          <w:i w:val="0"/>
          <w:sz w:val="26"/>
        </w:rPr>
        <w:t>Tuy nhiên, không có dữ liệu công khai xác nhận từng người đặt đơn đã tin hoặc dựa vào quảng cáo. Vì vậy, báo cáo chỉ coi mối liên hệ nhân quả là nhận định học thuật ở cấp độ hành vi, không phải kết luận về sự tin cậy của từng người mua hay thiệt hại của từng đơn hàng.</w:t>
      </w:r>
    </w:p>
    <w:p>
      <w:pPr>
        <w:spacing w:line="240" w:lineRule="auto"/>
        <w:ind w:left="283" w:firstLine="0"/>
      </w:pPr>
      <w:r>
        <w:rPr>
          <w:rFonts w:ascii="Times New Roman" w:hAnsi="Times New Roman" w:eastAsia="Times New Roman"/>
          <w:b w:val="0"/>
          <w:i w:val="0"/>
          <w:sz w:val="18"/>
        </w:rPr>
        <w:t>┌───────────────────────────────────────┐</w:t>
        <w:br/>
        <w:t>│         HÀNH VI NGUYÊN NHÂN           │</w:t>
        <w:br/>
        <w:t>│ - Quảng cáo thổi phồng công dụng      │</w:t>
        <w:br/>
        <w:t>│ - Cắt ghép hình ảnh, video người nổi tiếng │</w:t>
        <w:br/>
        <w:t>│ - Đưa thông tin sai lệch khi bán hàng │</w:t>
        <w:br/>
        <w:t>└──────────────────┬────────────────────┘</w:t>
        <w:br/>
        <w:t xml:space="preserve">                   │</w:t>
        <w:br/>
        <w:t xml:space="preserve">                   │ (Tác động nhận thức, tạo niềm tin sai lệch)</w:t>
        <w:br/>
        <w:t xml:space="preserve">                   ▼</w:t>
        <w:br/>
        <w:t>┌───────────────────────────────────────┐</w:t>
        <w:br/>
        <w:t>│          HẬU QUẢ PHÁT SINH            │</w:t>
        <w:br/>
        <w:t>│ - 5.429 đơn hàng giao dịch thành công │</w:t>
        <w:br/>
        <w:t>│ - Phát sinh hơn 2,67 tỷ đồng tiền hàng │</w:t>
        <w:br/>
        <w:t>│ - Ảnh hưởng quyền lợi NTD &amp; uy tín y tế│</w:t>
        <w:br/>
        <w:t>└───────────────────────────────────────┘</w:t>
      </w:r>
    </w:p>
    <w:p>
      <w:pPr>
        <w:pStyle w:val="Heading3"/>
        <w:ind w:firstLine="0"/>
        <w:jc w:val="left"/>
      </w:pPr>
      <w:r>
        <w:rPr>
          <w:rFonts w:ascii="Times New Roman" w:hAnsi="Times New Roman" w:eastAsia="Times New Roman"/>
          <w:b w:val="0"/>
          <w:i w:val="0"/>
          <w:sz w:val="28"/>
        </w:rPr>
        <w:t>3.2.4. Nhận xét tiểu mục 3.2</w:t>
      </w:r>
    </w:p>
    <w:p>
      <w:pPr>
        <w:ind w:firstLine="709"/>
        <w:jc w:val="both"/>
      </w:pPr>
      <w:r>
        <w:rPr>
          <w:rFonts w:ascii="Times New Roman" w:hAnsi="Times New Roman" w:eastAsia="Times New Roman"/>
          <w:b w:val="0"/>
          <w:i w:val="0"/>
          <w:sz w:val="26"/>
        </w:rPr>
        <w:t>Mặt khách quan của vụ việc thể hiện chuỗi hành vi có tổ chức, ứng dụng công nghệ đa phương tiện để tiếp cận diện rộng người dùng mạng xã hội, tạo ra quy mô giao dịch đáng kể và tác động tiêu cực đến quyền lợi của người tiêu dùng.</w:t>
      </w:r>
    </w:p>
    <w:p>
      <w:pPr>
        <w:pStyle w:val="Heading2"/>
        <w:ind w:firstLine="0"/>
        <w:jc w:val="center"/>
      </w:pPr>
      <w:r>
        <w:rPr>
          <w:rFonts w:ascii="Times New Roman" w:hAnsi="Times New Roman" w:eastAsia="Times New Roman"/>
          <w:b w:val="0"/>
          <w:i w:val="0"/>
          <w:sz w:val="30"/>
        </w:rPr>
        <w:t>3.3. Phân tích yếu tố Chủ thể của vi phạm pháp luật</w:t>
      </w:r>
    </w:p>
    <w:p>
      <w:pPr>
        <w:pStyle w:val="Heading3"/>
        <w:ind w:firstLine="0"/>
        <w:jc w:val="left"/>
      </w:pPr>
      <w:r>
        <w:rPr>
          <w:rFonts w:ascii="Times New Roman" w:hAnsi="Times New Roman" w:eastAsia="Times New Roman"/>
          <w:b w:val="0"/>
          <w:i w:val="0"/>
          <w:sz w:val="28"/>
        </w:rPr>
        <w:t>3.3.1. Cơ sở lý luận áp dụng</w:t>
      </w:r>
    </w:p>
    <w:p>
      <w:pPr>
        <w:ind w:firstLine="709"/>
        <w:jc w:val="both"/>
      </w:pPr>
      <w:r>
        <w:rPr>
          <w:rFonts w:ascii="Times New Roman" w:hAnsi="Times New Roman" w:eastAsia="Times New Roman"/>
          <w:b w:val="0"/>
          <w:i w:val="0"/>
          <w:sz w:val="26"/>
        </w:rPr>
        <w:t>Chủ thể của vi phạm pháp luật là cá nhân hoặc tổ chức có năng lực trách nhiệm pháp lý đã thực hiện hành vi vi phạm.</w:t>
      </w:r>
    </w:p>
    <w:p>
      <w:pPr>
        <w:pStyle w:val="ListBullet"/>
        <w:ind w:firstLine="0"/>
        <w:jc w:val="both"/>
      </w:pPr>
      <w:r>
        <w:rPr>
          <w:rFonts w:ascii="Times New Roman" w:hAnsi="Times New Roman" w:eastAsia="Times New Roman"/>
          <w:b/>
          <w:i w:val="0"/>
          <w:sz w:val="26"/>
        </w:rPr>
        <w:t>Điều kiện lý luận:</w:t>
      </w:r>
      <w:r>
        <w:rPr>
          <w:rFonts w:ascii="Times New Roman" w:hAnsi="Times New Roman" w:eastAsia="Times New Roman"/>
          <w:b w:val="0"/>
          <w:i w:val="0"/>
          <w:sz w:val="26"/>
        </w:rPr>
        <w:t xml:space="preserve"> Chủ thể phải đạt độ tuổi luật định và có khả năng nhận thức, điều khiển hành vi. Đây là điều kiện pháp lý chung, không phải dữ kiện tự động được suy ra từ việc một người bị khởi tố.</w:t>
      </w:r>
    </w:p>
    <w:p>
      <w:pPr>
        <w:pStyle w:val="ListBullet"/>
        <w:ind w:firstLine="0"/>
        <w:jc w:val="both"/>
      </w:pPr>
      <w:r>
        <w:rPr>
          <w:rFonts w:ascii="Times New Roman" w:hAnsi="Times New Roman" w:eastAsia="Times New Roman"/>
          <w:b/>
          <w:i w:val="0"/>
          <w:sz w:val="26"/>
        </w:rPr>
        <w:t>Khả năng nhận thức và điều khiển hành vi:</w:t>
      </w:r>
      <w:r>
        <w:rPr>
          <w:rFonts w:ascii="Times New Roman" w:hAnsi="Times New Roman" w:eastAsia="Times New Roman"/>
          <w:b w:val="0"/>
          <w:i w:val="0"/>
          <w:sz w:val="26"/>
        </w:rPr>
        <w:t xml:space="preserve"> Có trạng thái tâm thần bình thường, có thể nhận thức được tính chất xã hội của hành vi và điều khiển được hành vi của mình.</w:t>
      </w:r>
    </w:p>
    <w:p>
      <w:pPr>
        <w:pStyle w:val="Heading3"/>
        <w:ind w:firstLine="0"/>
        <w:jc w:val="left"/>
      </w:pPr>
      <w:r>
        <w:rPr>
          <w:rFonts w:ascii="Times New Roman" w:hAnsi="Times New Roman" w:eastAsia="Times New Roman"/>
          <w:b w:val="0"/>
          <w:i w:val="0"/>
          <w:sz w:val="28"/>
        </w:rPr>
        <w:t>3.3.2. Dữ kiện thực tế ghi nhận</w:t>
      </w:r>
    </w:p>
    <w:p>
      <w:pPr>
        <w:ind w:firstLine="709"/>
        <w:jc w:val="both"/>
      </w:pPr>
      <w:r>
        <w:rPr>
          <w:rFonts w:ascii="Times New Roman" w:hAnsi="Times New Roman" w:eastAsia="Times New Roman"/>
          <w:b w:val="0"/>
          <w:i w:val="0"/>
          <w:sz w:val="26"/>
        </w:rPr>
        <w:t>Cơ quan CSĐT Công an tỉnh Phú Thọ khởi tố Nguyễn Tiến Đạt cùng 20 bị can. Đạt sinh năm 1997 nên dữ kiện công khai cho phép xác định người này đã đạt độ tuổi thành niên vào năm 2026. Đối với 20 bị can còn lại, nguồn không công bố tuổi hoặc tình trạng năng lực nhận thức của từng người; báo cáo chỉ nêu điều kiện lý luận và không khẳng định độc lập năng lực trách nhiệm pháp lý của toàn bộ nhóm. Phùng Thị Nguyệt Ánh là người liên quan mà cơ quan điều tra đang tiếp tục làm rõ, không được nguồn xác định là bị can [8].</w:t>
      </w:r>
    </w:p>
    <w:p>
      <w:pPr>
        <w:pStyle w:val="Heading3"/>
        <w:ind w:firstLine="0"/>
        <w:jc w:val="left"/>
      </w:pPr>
      <w:r>
        <w:rPr>
          <w:rFonts w:ascii="Times New Roman" w:hAnsi="Times New Roman" w:eastAsia="Times New Roman"/>
          <w:b w:val="0"/>
          <w:i w:val="0"/>
          <w:sz w:val="28"/>
        </w:rPr>
        <w:t>3.3.3. Phân tích pháp lý chi tiết</w:t>
      </w:r>
    </w:p>
    <w:p>
      <w:pPr>
        <w:pStyle w:val="Heading4"/>
        <w:ind w:firstLine="0"/>
        <w:jc w:val="left"/>
      </w:pPr>
      <w:r>
        <w:rPr>
          <w:rFonts w:ascii="Times New Roman" w:hAnsi="Times New Roman" w:eastAsia="Times New Roman"/>
          <w:b w:val="0"/>
          <w:i w:val="0"/>
          <w:sz w:val="26"/>
        </w:rPr>
        <w:t>A. Đánh giá năng lực trách nhiệm pháp lý của chủ thể</w:t>
      </w:r>
    </w:p>
    <w:p>
      <w:pPr>
        <w:pStyle w:val="ListBullet"/>
        <w:ind w:firstLine="0"/>
        <w:jc w:val="both"/>
      </w:pPr>
      <w:r>
        <w:rPr>
          <w:rFonts w:ascii="Times New Roman" w:hAnsi="Times New Roman" w:eastAsia="Times New Roman"/>
          <w:b/>
          <w:i w:val="0"/>
          <w:sz w:val="26"/>
        </w:rPr>
        <w:t>Về độ tuổi:</w:t>
      </w:r>
      <w:r>
        <w:rPr>
          <w:rFonts w:ascii="Times New Roman" w:hAnsi="Times New Roman" w:eastAsia="Times New Roman"/>
          <w:b w:val="0"/>
          <w:i w:val="0"/>
          <w:sz w:val="26"/>
        </w:rPr>
        <w:t xml:space="preserve"> Bị can Nguyễn Tiến Đạt sinh năm 1997 (29 tuổi tính đến năm 2026), đã đủ tuổi chịu trách nhiệm pháp lý đầy đủ. Đối với các bị can còn lại, việc họ tham gia ký kết hợp đồng, làm việc và vận hành các bộ phận cho thấy họ đều là người trong độ tuổi lao động đã thành niên.</w:t>
      </w:r>
    </w:p>
    <w:p>
      <w:pPr>
        <w:pStyle w:val="ListBullet"/>
        <w:ind w:firstLine="0"/>
        <w:jc w:val="both"/>
      </w:pPr>
      <w:r>
        <w:rPr>
          <w:rFonts w:ascii="Times New Roman" w:hAnsi="Times New Roman" w:eastAsia="Times New Roman"/>
          <w:b/>
          <w:i w:val="0"/>
          <w:sz w:val="26"/>
        </w:rPr>
        <w:t>Về khả năng nhận thức và điều khiển hành vi:</w:t>
      </w:r>
      <w:r>
        <w:rPr>
          <w:rFonts w:ascii="Times New Roman" w:hAnsi="Times New Roman" w:eastAsia="Times New Roman"/>
          <w:b w:val="0"/>
          <w:i w:val="0"/>
          <w:sz w:val="26"/>
        </w:rPr>
        <w:t xml:space="preserve"> Dưới góc độ dữ liệu công khai, các cơ quan tiến hành tố tụng đã xem xét điều kiện năng lực trách nhiệm hình sự khi ra quyết định khởi tố bị can; không có thông tin về việc các cá nhân này mắc bệnh lý tâm thần làm mất khả năng nhận thức. (Việc kết luận tuyệt đối về tình trạng tâm thần của từng cá nhân theo trình tự tố tụng sẽ phụ thuộc vào kết luận giám định pháp y nếu được yêu cầu trong quá trình xét xử).</w:t>
      </w:r>
    </w:p>
    <w:p>
      <w:pPr>
        <w:pStyle w:val="Heading4"/>
        <w:ind w:firstLine="0"/>
        <w:jc w:val="left"/>
      </w:pPr>
      <w:r>
        <w:rPr>
          <w:rFonts w:ascii="Times New Roman" w:hAnsi="Times New Roman" w:eastAsia="Times New Roman"/>
          <w:b w:val="0"/>
          <w:i w:val="0"/>
          <w:sz w:val="26"/>
        </w:rPr>
        <w:t>B. Phân hóa vai trò của các nhóm cá nhân trong vụ việc</w:t>
      </w:r>
    </w:p>
    <w:p>
      <w:pPr>
        <w:ind w:firstLine="709"/>
        <w:jc w:val="both"/>
      </w:pPr>
      <w:r>
        <w:rPr>
          <w:rFonts w:ascii="Times New Roman" w:hAnsi="Times New Roman" w:eastAsia="Times New Roman"/>
          <w:b w:val="0"/>
          <w:i w:val="0"/>
          <w:sz w:val="26"/>
        </w:rPr>
        <w:t>Căn cứ vào dữ liệu công bố, vai trò của 21 bị can có sự phân công chuyên môn hóa:</w:t>
      </w:r>
    </w:p>
    <w:p>
      <w:pPr>
        <w:pStyle w:val="ListNumber"/>
        <w:ind w:firstLine="0"/>
        <w:jc w:val="both"/>
      </w:pPr>
      <w:r>
        <w:rPr>
          <w:rFonts w:ascii="Times New Roman" w:hAnsi="Times New Roman" w:eastAsia="Times New Roman"/>
          <w:b/>
          <w:i w:val="0"/>
          <w:sz w:val="26"/>
        </w:rPr>
        <w:t>Người tổ chức, điều hành (Nguyễn Tiến Đạt):</w:t>
      </w:r>
      <w:r>
        <w:rPr>
          <w:rFonts w:ascii="Times New Roman" w:hAnsi="Times New Roman" w:eastAsia="Times New Roman"/>
          <w:b w:val="0"/>
          <w:i w:val="0"/>
          <w:sz w:val="26"/>
        </w:rPr>
        <w:t xml:space="preserve"> Là người khởi xướng, trực tiếp đàm phán mua sản phẩm, thuê mướn cơ sở vật chất, tuyển dụng và chỉ đạo chung toàn bộ quy trình.</w:t>
      </w:r>
    </w:p>
    <w:p>
      <w:pPr>
        <w:pStyle w:val="ListNumber"/>
        <w:ind w:firstLine="0"/>
        <w:jc w:val="both"/>
      </w:pPr>
      <w:r>
        <w:rPr>
          <w:rFonts w:ascii="Times New Roman" w:hAnsi="Times New Roman" w:eastAsia="Times New Roman"/>
          <w:b/>
          <w:i w:val="0"/>
          <w:sz w:val="26"/>
        </w:rPr>
        <w:t>Chủ thể cung ứng sản phẩm (Phùng Thị Nguyệt Ánh):</w:t>
      </w:r>
      <w:r>
        <w:rPr>
          <w:rFonts w:ascii="Times New Roman" w:hAnsi="Times New Roman" w:eastAsia="Times New Roman"/>
          <w:b w:val="0"/>
          <w:i w:val="0"/>
          <w:sz w:val="26"/>
        </w:rPr>
        <w:t xml:space="preserve"> Cung cấp sản phẩm số lượng lớn cho đường dây với mức giá 23.000 đồng/sản phẩm; trách nhiệm liên đới sẽ được cơ quan điều tra làm rõ dựa trên mức độ thỏa thuận và nhận thức đối với mục đích sử dụng của Đạt.</w:t>
      </w:r>
    </w:p>
    <w:p>
      <w:pPr>
        <w:pStyle w:val="ListNumber"/>
        <w:ind w:firstLine="0"/>
        <w:jc w:val="both"/>
      </w:pPr>
      <w:r>
        <w:rPr>
          <w:rFonts w:ascii="Times New Roman" w:hAnsi="Times New Roman" w:eastAsia="Times New Roman"/>
          <w:b/>
          <w:i w:val="0"/>
          <w:sz w:val="26"/>
        </w:rPr>
        <w:t>Nhóm phụ trách kỹ thuật, truyền thông (Marketing):</w:t>
      </w:r>
      <w:r>
        <w:rPr>
          <w:rFonts w:ascii="Times New Roman" w:hAnsi="Times New Roman" w:eastAsia="Times New Roman"/>
          <w:b w:val="0"/>
          <w:i w:val="0"/>
          <w:sz w:val="26"/>
        </w:rPr>
        <w:t xml:space="preserve"> Trực tiếp tạo dựng nội dung quảng cáo sai sự thật, cắt ghép video để phân phối trên mạng xã hội.</w:t>
      </w:r>
    </w:p>
    <w:p>
      <w:pPr>
        <w:pStyle w:val="ListNumber"/>
        <w:ind w:firstLine="0"/>
        <w:jc w:val="both"/>
      </w:pPr>
      <w:r>
        <w:rPr>
          <w:rFonts w:ascii="Times New Roman" w:hAnsi="Times New Roman" w:eastAsia="Times New Roman"/>
          <w:b/>
          <w:i w:val="0"/>
          <w:sz w:val="26"/>
        </w:rPr>
        <w:t>Nhóm bán hàng, vận đơn và đóng gói:</w:t>
      </w:r>
      <w:r>
        <w:rPr>
          <w:rFonts w:ascii="Times New Roman" w:hAnsi="Times New Roman" w:eastAsia="Times New Roman"/>
          <w:b w:val="0"/>
          <w:i w:val="0"/>
          <w:sz w:val="26"/>
        </w:rPr>
        <w:t xml:space="preserve"> Tiếp nhận thông tin, tư vấn đơn hàng và thực hiện quy trình giao nhận.</w:t>
      </w:r>
    </w:p>
    <w:p>
      <w:pPr>
        <w:ind w:firstLine="709"/>
        <w:jc w:val="both"/>
      </w:pPr>
      <w:r>
        <w:rPr>
          <w:rFonts w:ascii="Times New Roman" w:hAnsi="Times New Roman" w:eastAsia="Times New Roman"/>
          <w:b w:val="0"/>
          <w:i w:val="0"/>
          <w:sz w:val="26"/>
        </w:rPr>
        <w:t xml:space="preserve">&gt; </w:t>
      </w:r>
      <w:r>
        <w:rPr>
          <w:rFonts w:ascii="Times New Roman" w:hAnsi="Times New Roman" w:eastAsia="Times New Roman"/>
          <w:b/>
          <w:i w:val="0"/>
          <w:sz w:val="26"/>
        </w:rPr>
        <w:t>Ghi chú về tính mở của dữ liệu:</w:t>
      </w:r>
      <w:r>
        <w:rPr>
          <w:rFonts w:ascii="Times New Roman" w:hAnsi="Times New Roman" w:eastAsia="Times New Roman"/>
          <w:b w:val="0"/>
          <w:i w:val="0"/>
          <w:sz w:val="26"/>
        </w:rPr>
        <w:t xml:space="preserve"> Dưới góc độ nghiên cứu học thuật, mức độ nhận thức cụ thể của từng nhân viên làm việc tại các khâu hỗ trợ (đặc biệt là bộ phận đóng gói, vận đơn) cần căn cứ vào kết luận điều tra chính thức của cơ quan có thẩm quyền để phân hóa trách nhiệm một cách thỏa đáng.</w:t>
      </w:r>
    </w:p>
    <w:p>
      <w:pPr>
        <w:pStyle w:val="Heading3"/>
        <w:ind w:firstLine="0"/>
        <w:jc w:val="left"/>
      </w:pPr>
      <w:r>
        <w:rPr>
          <w:rFonts w:ascii="Times New Roman" w:hAnsi="Times New Roman" w:eastAsia="Times New Roman"/>
          <w:b w:val="0"/>
          <w:i w:val="0"/>
          <w:sz w:val="28"/>
        </w:rPr>
        <w:t>3.3.4. Nhận xét tiểu mục 3.3</w:t>
      </w:r>
    </w:p>
    <w:p>
      <w:pPr>
        <w:ind w:firstLine="709"/>
        <w:jc w:val="both"/>
      </w:pPr>
      <w:r>
        <w:rPr>
          <w:rFonts w:ascii="Times New Roman" w:hAnsi="Times New Roman" w:eastAsia="Times New Roman"/>
          <w:b w:val="0"/>
          <w:i w:val="0"/>
          <w:sz w:val="26"/>
        </w:rPr>
        <w:t>Các chủ thể bị khởi tố đáp ứng các điều kiện chung về năng lực trách nhiệm pháp lý. Sự phân hóa vai trò phản ánh tính chất có tổ chức trong việc thực hiện chuỗi hành vi tiếp thị và phân phối sản phẩm.</w:t>
      </w:r>
    </w:p>
    <w:p>
      <w:pPr>
        <w:pStyle w:val="Heading2"/>
        <w:ind w:firstLine="0"/>
        <w:jc w:val="center"/>
      </w:pPr>
      <w:r>
        <w:rPr>
          <w:rFonts w:ascii="Times New Roman" w:hAnsi="Times New Roman" w:eastAsia="Times New Roman"/>
          <w:b w:val="0"/>
          <w:i w:val="0"/>
          <w:sz w:val="30"/>
        </w:rPr>
        <w:t>3.4. Phân tích yếu tố Mặt chủ quan của vi phạm pháp luật</w:t>
      </w:r>
    </w:p>
    <w:p>
      <w:pPr>
        <w:pStyle w:val="Heading3"/>
        <w:ind w:firstLine="0"/>
        <w:jc w:val="left"/>
      </w:pPr>
      <w:r>
        <w:rPr>
          <w:rFonts w:ascii="Times New Roman" w:hAnsi="Times New Roman" w:eastAsia="Times New Roman"/>
          <w:b w:val="0"/>
          <w:i w:val="0"/>
          <w:sz w:val="28"/>
        </w:rPr>
        <w:t>3.4.1. Cơ sở lý luận áp dụng</w:t>
      </w:r>
    </w:p>
    <w:p>
      <w:pPr>
        <w:ind w:firstLine="709"/>
        <w:jc w:val="both"/>
      </w:pPr>
      <w:r>
        <w:rPr>
          <w:rFonts w:ascii="Times New Roman" w:hAnsi="Times New Roman" w:eastAsia="Times New Roman"/>
          <w:b w:val="0"/>
          <w:i w:val="0"/>
          <w:sz w:val="26"/>
        </w:rPr>
        <w:t>Mặt chủ quan phản ánh diễn biến tâm lý bên trong của chủ thể đối với hành vi và hậu quả, gồm ba yếu tố: Lỗi, Động cơ và Mục đích. Việc phân tích mặt chủ quan phải căn cứ vào các hành vi khách quan đã bộc lộ ra bên ngoài, có sự phân hóa theo từng vị trí vai trò, tránh áp đặt suy đoán chủ quan chung cho tất cả mọi cá nhân.</w:t>
      </w:r>
    </w:p>
    <w:p>
      <w:pPr>
        <w:pStyle w:val="Heading3"/>
        <w:ind w:firstLine="0"/>
        <w:jc w:val="left"/>
      </w:pPr>
      <w:r>
        <w:rPr>
          <w:rFonts w:ascii="Times New Roman" w:hAnsi="Times New Roman" w:eastAsia="Times New Roman"/>
          <w:b w:val="0"/>
          <w:i w:val="0"/>
          <w:sz w:val="28"/>
        </w:rPr>
        <w:t>3.4.2. Phân tích chi tiết theo vai trò chủ thể</w:t>
      </w:r>
    </w:p>
    <w:p>
      <w:pPr>
        <w:pStyle w:val="Heading4"/>
        <w:ind w:firstLine="0"/>
        <w:jc w:val="left"/>
      </w:pPr>
      <w:r>
        <w:rPr>
          <w:rFonts w:ascii="Times New Roman" w:hAnsi="Times New Roman" w:eastAsia="Times New Roman"/>
          <w:b w:val="0"/>
          <w:i w:val="0"/>
          <w:sz w:val="26"/>
        </w:rPr>
        <w:t>A. Dữ kiện và đánh giá đối với Nguyễn Tiến Đạt</w:t>
      </w:r>
    </w:p>
    <w:p>
      <w:pPr>
        <w:pStyle w:val="ListBullet"/>
        <w:ind w:firstLine="0"/>
        <w:jc w:val="both"/>
      </w:pPr>
      <w:r>
        <w:rPr>
          <w:rFonts w:ascii="Times New Roman" w:hAnsi="Times New Roman" w:eastAsia="Times New Roman"/>
          <w:b/>
          <w:i w:val="0"/>
          <w:sz w:val="26"/>
        </w:rPr>
        <w:t>Về yếu tố Lỗi:</w:t>
      </w:r>
      <w:r>
        <w:rPr>
          <w:rFonts w:ascii="Times New Roman" w:hAnsi="Times New Roman" w:eastAsia="Times New Roman"/>
          <w:b w:val="0"/>
          <w:i w:val="0"/>
          <w:sz w:val="26"/>
        </w:rPr>
        <w:t xml:space="preserve"> Bài báo nêu Đạt chỉ đạo dùng nội dung chỉnh sửa, cắt ghép và thông tin phóng đại, sai lệch để tạo niềm tin, thúc đẩy mua hàng. Đây là dữ kiện công khai cho thấy </w:t>
      </w:r>
      <w:r>
        <w:rPr>
          <w:rFonts w:ascii="Times New Roman" w:hAnsi="Times New Roman" w:eastAsia="Times New Roman"/>
          <w:b/>
          <w:i w:val="0"/>
          <w:sz w:val="26"/>
        </w:rPr>
        <w:t>dấu hiệu mạnh của lỗi cố ý trực tiếp</w:t>
      </w:r>
      <w:r>
        <w:rPr>
          <w:rFonts w:ascii="Times New Roman" w:hAnsi="Times New Roman" w:eastAsia="Times New Roman"/>
          <w:b w:val="0"/>
          <w:i w:val="0"/>
          <w:sz w:val="26"/>
        </w:rPr>
        <w:t xml:space="preserve"> đối với Đạt, theo chuỗi Fact → Interpretation → Legal reasoning; kết luận tố tụng cuối cùng vẫn thuộc thẩm quyền cơ quan tiến hành tố tụng và Tòa án.</w:t>
      </w:r>
    </w:p>
    <w:p>
      <w:pPr>
        <w:pStyle w:val="ListBullet"/>
        <w:ind w:firstLine="0"/>
        <w:jc w:val="both"/>
      </w:pPr>
      <w:r>
        <w:rPr>
          <w:rFonts w:ascii="Times New Roman" w:hAnsi="Times New Roman" w:eastAsia="Times New Roman"/>
          <w:b w:val="0"/>
          <w:i/>
          <w:sz w:val="26"/>
        </w:rPr>
        <w:t>Về lý trí:</w:t>
      </w:r>
      <w:r>
        <w:rPr>
          <w:rFonts w:ascii="Times New Roman" w:hAnsi="Times New Roman" w:eastAsia="Times New Roman"/>
          <w:b w:val="0"/>
          <w:i w:val="0"/>
          <w:sz w:val="26"/>
        </w:rPr>
        <w:t xml:space="preserve"> Có thể suy luận ở mức học thuật rằng việc chỉ đạo sử dụng nội dung sai lệch cho thấy nhận thức về tính chất không trung thực của cách quảng cáo; không suy đoán về thành phần, chất lượng thực tế của sản phẩm ngoài những gì nguồn nêu.</w:t>
      </w:r>
    </w:p>
    <w:p>
      <w:pPr>
        <w:pStyle w:val="ListBullet"/>
        <w:ind w:firstLine="0"/>
        <w:jc w:val="both"/>
      </w:pPr>
      <w:r>
        <w:rPr>
          <w:rFonts w:ascii="Times New Roman" w:hAnsi="Times New Roman" w:eastAsia="Times New Roman"/>
          <w:b w:val="0"/>
          <w:i/>
          <w:sz w:val="26"/>
        </w:rPr>
        <w:t>Về ý chí:</w:t>
      </w:r>
      <w:r>
        <w:rPr>
          <w:rFonts w:ascii="Times New Roman" w:hAnsi="Times New Roman" w:eastAsia="Times New Roman"/>
          <w:b w:val="0"/>
          <w:i w:val="0"/>
          <w:sz w:val="26"/>
        </w:rPr>
        <w:t xml:space="preserve"> Mục đích “tạo niềm tin và thúc đẩy khách hàng mua hàng” được bài báo thuật lại là cơ sở để đánh giá dấu hiệu hướng tới việc bán hàng với giá 199.000 đồng/sản phẩm.</w:t>
      </w:r>
    </w:p>
    <w:p>
      <w:pPr>
        <w:pStyle w:val="ListBullet"/>
        <w:ind w:firstLine="0"/>
        <w:jc w:val="both"/>
      </w:pPr>
      <w:r>
        <w:rPr>
          <w:rFonts w:ascii="Times New Roman" w:hAnsi="Times New Roman" w:eastAsia="Times New Roman"/>
          <w:b/>
          <w:i w:val="0"/>
          <w:sz w:val="26"/>
        </w:rPr>
        <w:t>Về Động cơ và Mục đích:</w:t>
      </w:r>
    </w:p>
    <w:p>
      <w:pPr>
        <w:pStyle w:val="ListBullet"/>
        <w:ind w:firstLine="0"/>
        <w:jc w:val="both"/>
      </w:pPr>
      <w:r>
        <w:rPr>
          <w:rFonts w:ascii="Times New Roman" w:hAnsi="Times New Roman" w:eastAsia="Times New Roman"/>
          <w:b w:val="0"/>
          <w:i/>
          <w:sz w:val="26"/>
        </w:rPr>
        <w:t>Động cơ:</w:t>
      </w:r>
      <w:r>
        <w:rPr>
          <w:rFonts w:ascii="Times New Roman" w:hAnsi="Times New Roman" w:eastAsia="Times New Roman"/>
          <w:b w:val="0"/>
          <w:i w:val="0"/>
          <w:sz w:val="26"/>
        </w:rPr>
        <w:t xml:space="preserve"> Động cơ vụ lợi kinh tế, tìm kiếm lợi nhuận thương mại từ việc kinh doanh chênh lệch giá dựa trên thông tin sai lệch.</w:t>
      </w:r>
    </w:p>
    <w:p>
      <w:pPr>
        <w:pStyle w:val="ListBullet"/>
        <w:ind w:firstLine="0"/>
        <w:jc w:val="both"/>
      </w:pPr>
      <w:r>
        <w:rPr>
          <w:rFonts w:ascii="Times New Roman" w:hAnsi="Times New Roman" w:eastAsia="Times New Roman"/>
          <w:b w:val="0"/>
          <w:i/>
          <w:sz w:val="26"/>
        </w:rPr>
        <w:t>Mục đích:</w:t>
      </w:r>
      <w:r>
        <w:rPr>
          <w:rFonts w:ascii="Times New Roman" w:hAnsi="Times New Roman" w:eastAsia="Times New Roman"/>
          <w:b w:val="0"/>
          <w:i w:val="0"/>
          <w:sz w:val="26"/>
        </w:rPr>
        <w:t xml:space="preserve"> Bán được càng nhiều sản phẩm càng tốt nhằm </w:t>
      </w:r>
      <w:r>
        <w:rPr>
          <w:rFonts w:ascii="Times New Roman" w:hAnsi="Times New Roman" w:eastAsia="Times New Roman"/>
          <w:b/>
          <w:i w:val="0"/>
          <w:sz w:val="26"/>
        </w:rPr>
        <w:t>thu lợi bất chính</w:t>
      </w:r>
      <w:r>
        <w:rPr>
          <w:rFonts w:ascii="Times New Roman" w:hAnsi="Times New Roman" w:eastAsia="Times New Roman"/>
          <w:b w:val="0"/>
          <w:i w:val="0"/>
          <w:sz w:val="26"/>
        </w:rPr>
        <w:t xml:space="preserve"> từ chênh lệch giữa giá bán và giá vốn thực tế.</w:t>
      </w:r>
    </w:p>
    <w:p>
      <w:pPr>
        <w:pStyle w:val="Heading4"/>
        <w:ind w:firstLine="0"/>
        <w:jc w:val="left"/>
      </w:pPr>
      <w:r>
        <w:rPr>
          <w:rFonts w:ascii="Times New Roman" w:hAnsi="Times New Roman" w:eastAsia="Times New Roman"/>
          <w:b w:val="0"/>
          <w:i w:val="0"/>
          <w:sz w:val="26"/>
        </w:rPr>
        <w:t>B. Những gì có thể suy luận về mục đích kinh tế từ chuỗi hành vi</w:t>
      </w:r>
    </w:p>
    <w:p>
      <w:pPr>
        <w:ind w:firstLine="709"/>
        <w:jc w:val="both"/>
      </w:pPr>
      <w:r>
        <w:rPr>
          <w:rFonts w:ascii="Times New Roman" w:hAnsi="Times New Roman" w:eastAsia="Times New Roman"/>
          <w:b w:val="0"/>
          <w:i w:val="0"/>
          <w:sz w:val="26"/>
        </w:rPr>
        <w:t>Chênh lệch giữa giá mua 23.000 đồng và giá bán 199.000 đồng, cùng việc tổ chức quảng cáo được nguồn nêu, là cơ sở cho nhận định về dấu hiệu mục tiêu kinh tế. Không có dữ liệu công khai về chi phí, lợi nhuận hoặc khoản thu lợi bất chính thực tế nên không thể đồng nhất các đại lượng này.</w:t>
      </w:r>
    </w:p>
    <w:p>
      <w:pPr>
        <w:pStyle w:val="Heading4"/>
        <w:ind w:firstLine="0"/>
        <w:jc w:val="left"/>
      </w:pPr>
      <w:r>
        <w:rPr>
          <w:rFonts w:ascii="Times New Roman" w:hAnsi="Times New Roman" w:eastAsia="Times New Roman"/>
          <w:b w:val="0"/>
          <w:i w:val="0"/>
          <w:sz w:val="26"/>
        </w:rPr>
        <w:t>C. Giới hạn dữ liệu đối với các cá nhân hỗ trợ còn lại</w:t>
      </w:r>
    </w:p>
    <w:p>
      <w:pPr>
        <w:ind w:firstLine="709"/>
        <w:jc w:val="both"/>
      </w:pPr>
      <w:r>
        <w:rPr>
          <w:rFonts w:ascii="Times New Roman" w:hAnsi="Times New Roman" w:eastAsia="Times New Roman"/>
          <w:b w:val="0"/>
          <w:i w:val="0"/>
          <w:sz w:val="26"/>
        </w:rPr>
        <w:t>Đối với các nhân viên phụ trách bán hàng, vận đơn và đóng gói, tài liệu công khai ban đầu chưa thể hiện chi tiết mức độ nhận thức chủ quan của từng người (có nhận thức đầy đủ về tính chất sai sự thật của sản phẩm ngay từ đầu hay chỉ làm công việc theo phân công). Trong khoa học pháp lý, cơ quan tiến hành tố tụng sẽ làm rõ ý thức chủ quan của từng cá nhân để xác định mức độ lỗi và vai trò đồng phạm tương ứng.</w:t>
      </w:r>
    </w:p>
    <w:p>
      <w:pPr>
        <w:pStyle w:val="Heading4"/>
        <w:ind w:firstLine="0"/>
        <w:jc w:val="left"/>
      </w:pPr>
      <w:r>
        <w:rPr>
          <w:rFonts w:ascii="Times New Roman" w:hAnsi="Times New Roman" w:eastAsia="Times New Roman"/>
          <w:b w:val="0"/>
          <w:i w:val="0"/>
          <w:sz w:val="26"/>
        </w:rPr>
        <w:t>D. Bảng đối chiếu lập luận khoa học về Mặt chủ quan</w:t>
      </w:r>
    </w:p>
    <w:tbl>
      <w:tblPr>
        <w:tblStyle w:val="TableGrid"/>
        <w:tblW w:type="auto" w:w="0"/>
        <w:jc w:val="center"/>
        <w:tblLook w:firstColumn="1" w:firstRow="1" w:lastColumn="0" w:lastRow="0" w:noHBand="0" w:noVBand="1" w:val="04A0"/>
      </w:tblPr>
      <w:tblGrid>
        <w:gridCol w:w="2986"/>
        <w:gridCol w:w="2986"/>
        <w:gridCol w:w="2986"/>
      </w:tblGrid>
      <w:tr>
        <w:tc>
          <w:tcPr>
            <w:tcW w:type="dxa" w:w="2986"/>
            <w:vAlign w:val="center"/>
          </w:tcPr>
          <w:p>
            <w:pPr>
              <w:spacing w:after="0"/>
              <w:jc w:val="center"/>
            </w:pPr>
            <w:r>
              <w:rPr>
                <w:b/>
              </w:rPr>
            </w:r>
            <w:r>
              <w:rPr>
                <w:rFonts w:ascii="Times New Roman" w:hAnsi="Times New Roman" w:eastAsia="Times New Roman"/>
                <w:b/>
                <w:i w:val="0"/>
                <w:sz w:val="18"/>
              </w:rPr>
              <w:t>Tiêu chí</w:t>
            </w:r>
          </w:p>
        </w:tc>
        <w:tc>
          <w:tcPr>
            <w:tcW w:type="dxa" w:w="2986"/>
            <w:vAlign w:val="center"/>
          </w:tcPr>
          <w:p>
            <w:pPr>
              <w:spacing w:after="0"/>
              <w:jc w:val="center"/>
            </w:pPr>
            <w:r>
              <w:rPr>
                <w:b/>
              </w:rPr>
            </w:r>
            <w:r>
              <w:rPr>
                <w:rFonts w:ascii="Times New Roman" w:hAnsi="Times New Roman" w:eastAsia="Times New Roman"/>
                <w:b/>
                <w:i w:val="0"/>
                <w:sz w:val="18"/>
              </w:rPr>
              <w:t>Nội dung phân tích theo chuỗi lập luận</w:t>
            </w:r>
          </w:p>
        </w:tc>
        <w:tc>
          <w:tcPr>
            <w:tcW w:type="dxa" w:w="2986"/>
            <w:vAlign w:val="center"/>
          </w:tcPr>
          <w:p>
            <w:pPr>
              <w:spacing w:after="0"/>
              <w:jc w:val="center"/>
            </w:pPr>
            <w:r>
              <w:rPr>
                <w:b/>
              </w:rPr>
            </w:r>
            <w:r>
              <w:rPr>
                <w:rFonts w:ascii="Times New Roman" w:hAnsi="Times New Roman" w:eastAsia="Times New Roman"/>
                <w:b/>
                <w:i w:val="0"/>
                <w:sz w:val="18"/>
              </w:rPr>
              <w:t>Đánh giá học thuật</w:t>
            </w:r>
          </w:p>
        </w:tc>
      </w:tr>
      <w:tr>
        <w:tc>
          <w:tcPr>
            <w:tcW w:type="dxa" w:w="2986"/>
            <w:vAlign w:val="center"/>
          </w:tcPr>
          <w:p>
            <w:pPr>
              <w:spacing w:after="0"/>
              <w:jc w:val="left"/>
            </w:pPr>
            <w:r>
              <w:rPr/>
            </w:r>
            <w:r>
              <w:rPr>
                <w:rFonts w:ascii="Times New Roman" w:hAnsi="Times New Roman" w:eastAsia="Times New Roman"/>
                <w:b/>
                <w:i w:val="0"/>
                <w:sz w:val="18"/>
              </w:rPr>
              <w:t>Fact (Dữ kiện)</w:t>
            </w:r>
          </w:p>
        </w:tc>
        <w:tc>
          <w:tcPr>
            <w:tcW w:type="dxa" w:w="2986"/>
            <w:vAlign w:val="center"/>
          </w:tcPr>
          <w:p>
            <w:pPr>
              <w:spacing w:after="0"/>
              <w:jc w:val="left"/>
            </w:pPr>
            <w:r>
              <w:rPr/>
            </w:r>
            <w:r>
              <w:rPr>
                <w:rFonts w:ascii="Times New Roman" w:hAnsi="Times New Roman" w:eastAsia="Times New Roman"/>
                <w:b w:val="0"/>
                <w:i w:val="0"/>
                <w:sz w:val="18"/>
              </w:rPr>
              <w:t>Đạt mua sản phẩm giá 23k, bán 199k; bị nêu đã chỉ đạo nội dung chỉnh sửa/cắt ghép và phóng đại, sai lệch.</w:t>
            </w:r>
          </w:p>
        </w:tc>
        <w:tc>
          <w:tcPr>
            <w:tcW w:type="dxa" w:w="2986"/>
            <w:vAlign w:val="center"/>
          </w:tcPr>
          <w:p>
            <w:pPr>
              <w:spacing w:after="0"/>
              <w:jc w:val="left"/>
            </w:pPr>
            <w:r>
              <w:rPr/>
            </w:r>
            <w:r>
              <w:rPr>
                <w:rFonts w:ascii="Times New Roman" w:hAnsi="Times New Roman" w:eastAsia="Times New Roman"/>
                <w:b w:val="0"/>
                <w:i w:val="0"/>
                <w:sz w:val="18"/>
              </w:rPr>
              <w:t>Báo Điện tử Chính phủ [8]</w:t>
            </w:r>
          </w:p>
        </w:tc>
      </w:tr>
      <w:tr>
        <w:tc>
          <w:tcPr>
            <w:tcW w:type="dxa" w:w="2986"/>
            <w:vAlign w:val="center"/>
          </w:tcPr>
          <w:p>
            <w:pPr>
              <w:spacing w:after="0"/>
              <w:jc w:val="left"/>
            </w:pPr>
            <w:r>
              <w:rPr/>
            </w:r>
            <w:r>
              <w:rPr>
                <w:rFonts w:ascii="Times New Roman" w:hAnsi="Times New Roman" w:eastAsia="Times New Roman"/>
                <w:b/>
                <w:i w:val="0"/>
                <w:sz w:val="18"/>
              </w:rPr>
              <w:t>Interpretation</w:t>
            </w:r>
          </w:p>
        </w:tc>
        <w:tc>
          <w:tcPr>
            <w:tcW w:type="dxa" w:w="2986"/>
            <w:vAlign w:val="center"/>
          </w:tcPr>
          <w:p>
            <w:pPr>
              <w:spacing w:after="0"/>
              <w:jc w:val="left"/>
            </w:pPr>
            <w:r>
              <w:rPr/>
            </w:r>
            <w:r>
              <w:rPr>
                <w:rFonts w:ascii="Times New Roman" w:hAnsi="Times New Roman" w:eastAsia="Times New Roman"/>
                <w:b w:val="0"/>
                <w:i w:val="0"/>
                <w:sz w:val="18"/>
              </w:rPr>
              <w:t>Các dữ kiện trên cho thấy dấu hiệu Đạt hướng hoạt động vào việc tạo niềm tin để bán hàng.</w:t>
            </w:r>
          </w:p>
        </w:tc>
        <w:tc>
          <w:tcPr>
            <w:tcW w:type="dxa" w:w="2986"/>
            <w:vAlign w:val="center"/>
          </w:tcPr>
          <w:p>
            <w:pPr>
              <w:spacing w:after="0"/>
              <w:jc w:val="left"/>
            </w:pPr>
            <w:r>
              <w:rPr/>
            </w:r>
            <w:r>
              <w:rPr>
                <w:rFonts w:ascii="Times New Roman" w:hAnsi="Times New Roman" w:eastAsia="Times New Roman"/>
                <w:b w:val="0"/>
                <w:i w:val="0"/>
                <w:sz w:val="18"/>
              </w:rPr>
              <w:t>Suy luận học thuật có giới hạn</w:t>
            </w:r>
          </w:p>
        </w:tc>
      </w:tr>
      <w:tr>
        <w:tc>
          <w:tcPr>
            <w:tcW w:type="dxa" w:w="2986"/>
            <w:vAlign w:val="center"/>
          </w:tcPr>
          <w:p>
            <w:pPr>
              <w:spacing w:after="0"/>
              <w:jc w:val="left"/>
            </w:pPr>
            <w:r>
              <w:rPr/>
            </w:r>
            <w:r>
              <w:rPr>
                <w:rFonts w:ascii="Times New Roman" w:hAnsi="Times New Roman" w:eastAsia="Times New Roman"/>
                <w:b/>
                <w:i w:val="0"/>
                <w:sz w:val="18"/>
              </w:rPr>
              <w:t>Legal Reasoning</w:t>
            </w:r>
          </w:p>
        </w:tc>
        <w:tc>
          <w:tcPr>
            <w:tcW w:type="dxa" w:w="2986"/>
            <w:vAlign w:val="center"/>
          </w:tcPr>
          <w:p>
            <w:pPr>
              <w:spacing w:after="0"/>
              <w:jc w:val="left"/>
            </w:pPr>
            <w:r>
              <w:rPr/>
            </w:r>
            <w:r>
              <w:rPr>
                <w:rFonts w:ascii="Times New Roman" w:hAnsi="Times New Roman" w:eastAsia="Times New Roman"/>
                <w:b w:val="0"/>
                <w:i w:val="0"/>
                <w:sz w:val="18"/>
              </w:rPr>
              <w:t>Có thể phân tích dấu hiệu cố ý trực tiếp đối với Đạt, nhưng không thay thế kết luận tố tụng.</w:t>
            </w:r>
          </w:p>
        </w:tc>
        <w:tc>
          <w:tcPr>
            <w:tcW w:type="dxa" w:w="2986"/>
            <w:vAlign w:val="center"/>
          </w:tcPr>
          <w:p>
            <w:pPr>
              <w:spacing w:after="0"/>
              <w:jc w:val="left"/>
            </w:pPr>
            <w:r>
              <w:rPr/>
            </w:r>
            <w:r>
              <w:rPr>
                <w:rFonts w:ascii="Times New Roman" w:hAnsi="Times New Roman" w:eastAsia="Times New Roman"/>
                <w:b w:val="0"/>
                <w:i w:val="0"/>
                <w:sz w:val="18"/>
              </w:rPr>
              <w:t>Vận dụng khung PLĐC</w:t>
            </w:r>
          </w:p>
        </w:tc>
      </w:tr>
      <w:tr>
        <w:tc>
          <w:tcPr>
            <w:tcW w:type="dxa" w:w="2986"/>
            <w:vAlign w:val="center"/>
          </w:tcPr>
          <w:p>
            <w:pPr>
              <w:spacing w:after="0"/>
              <w:jc w:val="left"/>
            </w:pPr>
            <w:r>
              <w:rPr/>
            </w:r>
            <w:r>
              <w:rPr>
                <w:rFonts w:ascii="Times New Roman" w:hAnsi="Times New Roman" w:eastAsia="Times New Roman"/>
                <w:b/>
                <w:i w:val="0"/>
                <w:sz w:val="18"/>
              </w:rPr>
              <w:t>Scope Limitation</w:t>
            </w:r>
          </w:p>
        </w:tc>
        <w:tc>
          <w:tcPr>
            <w:tcW w:type="dxa" w:w="2986"/>
            <w:vAlign w:val="center"/>
          </w:tcPr>
          <w:p>
            <w:pPr>
              <w:spacing w:after="0"/>
              <w:jc w:val="left"/>
            </w:pPr>
            <w:r>
              <w:rPr/>
            </w:r>
            <w:r>
              <w:rPr>
                <w:rFonts w:ascii="Times New Roman" w:hAnsi="Times New Roman" w:eastAsia="Times New Roman"/>
                <w:b w:val="0"/>
                <w:i w:val="0"/>
                <w:sz w:val="18"/>
              </w:rPr>
              <w:t>Không suy rộng trạng thái tâm lý này cho nhân viên marketing, bán hàng, vận đơn, đóng hàng hoặc chuyển đơn.</w:t>
            </w:r>
          </w:p>
        </w:tc>
        <w:tc>
          <w:tcPr>
            <w:tcW w:type="dxa" w:w="2986"/>
            <w:vAlign w:val="center"/>
          </w:tcPr>
          <w:p>
            <w:pPr>
              <w:spacing w:after="0"/>
              <w:jc w:val="left"/>
            </w:pPr>
            <w:r>
              <w:rPr/>
            </w:r>
            <w:r>
              <w:rPr>
                <w:rFonts w:ascii="Times New Roman" w:hAnsi="Times New Roman" w:eastAsia="Times New Roman"/>
                <w:b w:val="0"/>
                <w:i w:val="0"/>
                <w:sz w:val="18"/>
              </w:rPr>
              <w:t>Tuân thủ nguyên tắc khách quan</w:t>
            </w:r>
          </w:p>
        </w:tc>
      </w:tr>
    </w:tbl>
    <w:p>
      <w:pPr>
        <w:pStyle w:val="Heading3"/>
        <w:ind w:firstLine="0"/>
        <w:jc w:val="left"/>
      </w:pPr>
      <w:r>
        <w:rPr>
          <w:rFonts w:ascii="Times New Roman" w:hAnsi="Times New Roman" w:eastAsia="Times New Roman"/>
          <w:b w:val="0"/>
          <w:i w:val="0"/>
          <w:sz w:val="28"/>
        </w:rPr>
        <w:t>3.4.3. Nhận xét tiểu mục 3.4</w:t>
      </w:r>
    </w:p>
    <w:p>
      <w:pPr>
        <w:ind w:firstLine="709"/>
        <w:jc w:val="both"/>
      </w:pPr>
      <w:r>
        <w:rPr>
          <w:rFonts w:ascii="Times New Roman" w:hAnsi="Times New Roman" w:eastAsia="Times New Roman"/>
          <w:b w:val="0"/>
          <w:i w:val="0"/>
          <w:sz w:val="26"/>
        </w:rPr>
        <w:t>Mặt chủ quan có thể được phân tích rõ nhất đối với Đạt từ các dữ kiện công khai về việc chỉ đạo nội dung quảng cáo. Đối với các nhóm nhân sự còn lại, mức độ nhận thức và ý chí phải chờ chứng cứ cá thể hóa; không nên gán chung lỗi cố ý trực tiếp cho cả nhóm.</w:t>
      </w:r>
    </w:p>
    <w:p>
      <w:pPr>
        <w:pStyle w:val="Heading2"/>
        <w:ind w:firstLine="0"/>
        <w:jc w:val="center"/>
      </w:pPr>
      <w:r>
        <w:rPr>
          <w:rFonts w:ascii="Times New Roman" w:hAnsi="Times New Roman" w:eastAsia="Times New Roman"/>
          <w:b w:val="0"/>
          <w:i w:val="0"/>
          <w:sz w:val="30"/>
        </w:rPr>
        <w:t>3.5. Bảng tổng hợp bốn yếu tố cấu thành vi phạm pháp luật</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tcPr>
          <w:p>
            <w:pPr>
              <w:spacing w:after="0"/>
              <w:jc w:val="center"/>
            </w:pPr>
            <w:r>
              <w:rPr>
                <w:b/>
              </w:rPr>
            </w:r>
            <w:r>
              <w:rPr>
                <w:rFonts w:ascii="Times New Roman" w:hAnsi="Times New Roman" w:eastAsia="Times New Roman"/>
                <w:b/>
                <w:i w:val="0"/>
                <w:sz w:val="18"/>
              </w:rPr>
              <w:t>Yếu tố cấu thành</w:t>
            </w:r>
          </w:p>
        </w:tc>
        <w:tc>
          <w:tcPr>
            <w:tcW w:type="dxa" w:w="2239"/>
            <w:vAlign w:val="center"/>
          </w:tcPr>
          <w:p>
            <w:pPr>
              <w:spacing w:after="0"/>
              <w:jc w:val="center"/>
            </w:pPr>
            <w:r>
              <w:rPr>
                <w:b/>
              </w:rPr>
            </w:r>
            <w:r>
              <w:rPr>
                <w:rFonts w:ascii="Times New Roman" w:hAnsi="Times New Roman" w:eastAsia="Times New Roman"/>
                <w:b/>
                <w:i w:val="0"/>
                <w:sz w:val="18"/>
              </w:rPr>
              <w:t>Dữ kiện thực tế chính</w:t>
            </w:r>
          </w:p>
        </w:tc>
        <w:tc>
          <w:tcPr>
            <w:tcW w:type="dxa" w:w="2239"/>
            <w:vAlign w:val="center"/>
          </w:tcPr>
          <w:p>
            <w:pPr>
              <w:spacing w:after="0"/>
              <w:jc w:val="center"/>
            </w:pPr>
            <w:r>
              <w:rPr>
                <w:b/>
              </w:rPr>
            </w:r>
            <w:r>
              <w:rPr>
                <w:rFonts w:ascii="Times New Roman" w:hAnsi="Times New Roman" w:eastAsia="Times New Roman"/>
                <w:b/>
                <w:i w:val="0"/>
                <w:sz w:val="18"/>
              </w:rPr>
              <w:t>Phân tích lý luận pháp lý</w:t>
            </w:r>
          </w:p>
        </w:tc>
        <w:tc>
          <w:tcPr>
            <w:tcW w:type="dxa" w:w="2239"/>
            <w:vAlign w:val="center"/>
          </w:tcPr>
          <w:p>
            <w:pPr>
              <w:spacing w:after="0"/>
              <w:jc w:val="center"/>
            </w:pPr>
            <w:r>
              <w:rPr>
                <w:b/>
              </w:rPr>
            </w:r>
            <w:r>
              <w:rPr>
                <w:rFonts w:ascii="Times New Roman" w:hAnsi="Times New Roman" w:eastAsia="Times New Roman"/>
                <w:b/>
                <w:i w:val="0"/>
                <w:sz w:val="18"/>
              </w:rPr>
              <w:t>Kết luận đánh giá</w:t>
            </w:r>
          </w:p>
        </w:tc>
      </w:tr>
      <w:tr>
        <w:tc>
          <w:tcPr>
            <w:tcW w:type="dxa" w:w="2239"/>
            <w:vAlign w:val="center"/>
          </w:tcPr>
          <w:p>
            <w:pPr>
              <w:spacing w:after="0"/>
              <w:jc w:val="left"/>
            </w:pPr>
            <w:r>
              <w:rPr/>
            </w:r>
            <w:r>
              <w:rPr>
                <w:rFonts w:ascii="Times New Roman" w:hAnsi="Times New Roman" w:eastAsia="Times New Roman"/>
                <w:b/>
                <w:i w:val="0"/>
                <w:sz w:val="18"/>
              </w:rPr>
              <w:t>1. Khách thể</w:t>
            </w:r>
          </w:p>
        </w:tc>
        <w:tc>
          <w:tcPr>
            <w:tcW w:type="dxa" w:w="2239"/>
            <w:vAlign w:val="center"/>
          </w:tcPr>
          <w:p>
            <w:pPr>
              <w:spacing w:after="0"/>
              <w:jc w:val="left"/>
            </w:pPr>
            <w:r>
              <w:rPr/>
            </w:r>
            <w:r>
              <w:rPr>
                <w:rFonts w:ascii="Times New Roman" w:hAnsi="Times New Roman" w:eastAsia="Times New Roman"/>
                <w:b w:val="0"/>
                <w:i w:val="0"/>
                <w:sz w:val="18"/>
              </w:rPr>
              <w:t>Sản phẩm Đông y giá 23k được bán 199k; hình ảnh/video người nổi tiếng bị nêu là đã chỉnh sửa; 5.429 đơn hàng.</w:t>
            </w:r>
          </w:p>
        </w:tc>
        <w:tc>
          <w:tcPr>
            <w:tcW w:type="dxa" w:w="2239"/>
            <w:vAlign w:val="center"/>
          </w:tcPr>
          <w:p>
            <w:pPr>
              <w:spacing w:after="0"/>
              <w:jc w:val="left"/>
            </w:pPr>
            <w:r>
              <w:rPr/>
            </w:r>
            <w:r>
              <w:rPr>
                <w:rFonts w:ascii="Times New Roman" w:hAnsi="Times New Roman" w:eastAsia="Times New Roman"/>
                <w:b w:val="0"/>
                <w:i w:val="0"/>
                <w:sz w:val="18"/>
              </w:rPr>
              <w:t>Đối chiếu với trật tự quản lý quảng cáo, thương mại, quyền thông tin trung thực của người tiêu dùng và quyền hình ảnh.</w:t>
            </w:r>
          </w:p>
        </w:tc>
        <w:tc>
          <w:tcPr>
            <w:tcW w:type="dxa" w:w="2239"/>
            <w:vAlign w:val="center"/>
          </w:tcPr>
          <w:p>
            <w:pPr>
              <w:spacing w:after="0"/>
              <w:jc w:val="left"/>
            </w:pPr>
            <w:r>
              <w:rPr/>
            </w:r>
            <w:r>
              <w:rPr>
                <w:rFonts w:ascii="Times New Roman" w:hAnsi="Times New Roman" w:eastAsia="Times New Roman"/>
                <w:b w:val="0"/>
                <w:i w:val="0"/>
                <w:sz w:val="18"/>
              </w:rPr>
              <w:t>Quan hệ xã hội cần được bảo vệ có dấu hiệu bị tác động.</w:t>
            </w:r>
          </w:p>
        </w:tc>
      </w:tr>
      <w:tr>
        <w:tc>
          <w:tcPr>
            <w:tcW w:type="dxa" w:w="2239"/>
            <w:vAlign w:val="center"/>
          </w:tcPr>
          <w:p>
            <w:pPr>
              <w:spacing w:after="0"/>
              <w:jc w:val="left"/>
            </w:pPr>
            <w:r>
              <w:rPr/>
            </w:r>
            <w:r>
              <w:rPr>
                <w:rFonts w:ascii="Times New Roman" w:hAnsi="Times New Roman" w:eastAsia="Times New Roman"/>
                <w:b/>
                <w:i w:val="0"/>
                <w:sz w:val="18"/>
              </w:rPr>
              <w:t>2. Mặt khách quan</w:t>
            </w:r>
          </w:p>
        </w:tc>
        <w:tc>
          <w:tcPr>
            <w:tcW w:type="dxa" w:w="2239"/>
            <w:vAlign w:val="center"/>
          </w:tcPr>
          <w:p>
            <w:pPr>
              <w:spacing w:after="0"/>
              <w:jc w:val="left"/>
            </w:pPr>
            <w:r>
              <w:rPr/>
            </w:r>
            <w:r>
              <w:rPr>
                <w:rFonts w:ascii="Times New Roman" w:hAnsi="Times New Roman" w:eastAsia="Times New Roman"/>
                <w:b w:val="0"/>
                <w:i w:val="0"/>
                <w:sz w:val="18"/>
              </w:rPr>
              <w:t>Nội dung quảng cáo phóng đại, sai lệch; 5.429 đơn hàng với tổng giá trị tiền hàng hơn 2,67 tỷ đồng.</w:t>
            </w:r>
          </w:p>
        </w:tc>
        <w:tc>
          <w:tcPr>
            <w:tcW w:type="dxa" w:w="2239"/>
            <w:vAlign w:val="center"/>
          </w:tcPr>
          <w:p>
            <w:pPr>
              <w:spacing w:after="0"/>
              <w:jc w:val="left"/>
            </w:pPr>
            <w:r>
              <w:rPr/>
            </w:r>
            <w:r>
              <w:rPr>
                <w:rFonts w:ascii="Times New Roman" w:hAnsi="Times New Roman" w:eastAsia="Times New Roman"/>
                <w:b w:val="0"/>
                <w:i w:val="0"/>
                <w:sz w:val="18"/>
              </w:rPr>
              <w:t>Hành vi là yếu tố trung tâm; quan hệ với quyết định mua chỉ được phân tích ở mức suy luận, không chứng minh riêng cho từng người mua.</w:t>
            </w:r>
          </w:p>
        </w:tc>
        <w:tc>
          <w:tcPr>
            <w:tcW w:type="dxa" w:w="2239"/>
            <w:vAlign w:val="center"/>
          </w:tcPr>
          <w:p>
            <w:pPr>
              <w:spacing w:after="0"/>
              <w:jc w:val="left"/>
            </w:pPr>
            <w:r>
              <w:rPr/>
            </w:r>
            <w:r>
              <w:rPr>
                <w:rFonts w:ascii="Times New Roman" w:hAnsi="Times New Roman" w:eastAsia="Times New Roman"/>
                <w:b w:val="0"/>
                <w:i w:val="0"/>
                <w:sz w:val="18"/>
              </w:rPr>
              <w:t>Có dữ kiện để phân tích hành vi bị cáo buộc.</w:t>
            </w:r>
          </w:p>
        </w:tc>
      </w:tr>
      <w:tr>
        <w:tc>
          <w:tcPr>
            <w:tcW w:type="dxa" w:w="2239"/>
            <w:vAlign w:val="center"/>
          </w:tcPr>
          <w:p>
            <w:pPr>
              <w:spacing w:after="0"/>
              <w:jc w:val="left"/>
            </w:pPr>
            <w:r>
              <w:rPr/>
            </w:r>
            <w:r>
              <w:rPr>
                <w:rFonts w:ascii="Times New Roman" w:hAnsi="Times New Roman" w:eastAsia="Times New Roman"/>
                <w:b/>
                <w:i w:val="0"/>
                <w:sz w:val="18"/>
              </w:rPr>
              <w:t>3. Chủ thể</w:t>
            </w:r>
          </w:p>
        </w:tc>
        <w:tc>
          <w:tcPr>
            <w:tcW w:type="dxa" w:w="2239"/>
            <w:vAlign w:val="center"/>
          </w:tcPr>
          <w:p>
            <w:pPr>
              <w:spacing w:after="0"/>
              <w:jc w:val="left"/>
            </w:pPr>
            <w:r>
              <w:rPr/>
            </w:r>
            <w:r>
              <w:rPr>
                <w:rFonts w:ascii="Times New Roman" w:hAnsi="Times New Roman" w:eastAsia="Times New Roman"/>
                <w:b w:val="0"/>
                <w:i w:val="0"/>
                <w:sz w:val="18"/>
              </w:rPr>
              <w:t>Đạt cùng 20 bị can bị khởi tố; Đạt sinh 1997; có các nhóm nhân sự.</w:t>
            </w:r>
          </w:p>
        </w:tc>
        <w:tc>
          <w:tcPr>
            <w:tcW w:type="dxa" w:w="2239"/>
            <w:vAlign w:val="center"/>
          </w:tcPr>
          <w:p>
            <w:pPr>
              <w:spacing w:after="0"/>
              <w:jc w:val="left"/>
            </w:pPr>
            <w:r>
              <w:rPr/>
            </w:r>
            <w:r>
              <w:rPr>
                <w:rFonts w:ascii="Times New Roman" w:hAnsi="Times New Roman" w:eastAsia="Times New Roman"/>
                <w:b w:val="0"/>
                <w:i w:val="0"/>
                <w:sz w:val="18"/>
              </w:rPr>
              <w:t>Điều kiện chủ thể là yêu cầu lý luận; nguồn chưa đủ để tự xác minh năng lực của toàn bộ bị can.</w:t>
            </w:r>
          </w:p>
        </w:tc>
        <w:tc>
          <w:tcPr>
            <w:tcW w:type="dxa" w:w="2239"/>
            <w:vAlign w:val="center"/>
          </w:tcPr>
          <w:p>
            <w:pPr>
              <w:spacing w:after="0"/>
              <w:jc w:val="left"/>
            </w:pPr>
            <w:r>
              <w:rPr/>
            </w:r>
            <w:r>
              <w:rPr>
                <w:rFonts w:ascii="Times New Roman" w:hAnsi="Times New Roman" w:eastAsia="Times New Roman"/>
                <w:b w:val="0"/>
                <w:i w:val="0"/>
                <w:sz w:val="18"/>
              </w:rPr>
              <w:t>Chỉ áp dụng chắc chắn về độ tuổi đối với Đạt.</w:t>
            </w:r>
          </w:p>
        </w:tc>
      </w:tr>
      <w:tr>
        <w:tc>
          <w:tcPr>
            <w:tcW w:type="dxa" w:w="2239"/>
            <w:vAlign w:val="center"/>
          </w:tcPr>
          <w:p>
            <w:pPr>
              <w:spacing w:after="0"/>
              <w:jc w:val="left"/>
            </w:pPr>
            <w:r>
              <w:rPr/>
            </w:r>
            <w:r>
              <w:rPr>
                <w:rFonts w:ascii="Times New Roman" w:hAnsi="Times New Roman" w:eastAsia="Times New Roman"/>
                <w:b/>
                <w:i w:val="0"/>
                <w:sz w:val="18"/>
              </w:rPr>
              <w:t>4. Mặt chủ quan</w:t>
            </w:r>
          </w:p>
        </w:tc>
        <w:tc>
          <w:tcPr>
            <w:tcW w:type="dxa" w:w="2239"/>
            <w:vAlign w:val="center"/>
          </w:tcPr>
          <w:p>
            <w:pPr>
              <w:spacing w:after="0"/>
              <w:jc w:val="left"/>
            </w:pPr>
            <w:r>
              <w:rPr/>
            </w:r>
            <w:r>
              <w:rPr>
                <w:rFonts w:ascii="Times New Roman" w:hAnsi="Times New Roman" w:eastAsia="Times New Roman"/>
                <w:b w:val="0"/>
                <w:i w:val="0"/>
                <w:sz w:val="18"/>
              </w:rPr>
              <w:t>Đạt bị nêu đã chỉ đạo dùng nội dung sai lệch để tạo niềm tin, thúc đẩy mua hàng.</w:t>
            </w:r>
          </w:p>
        </w:tc>
        <w:tc>
          <w:tcPr>
            <w:tcW w:type="dxa" w:w="2239"/>
            <w:vAlign w:val="center"/>
          </w:tcPr>
          <w:p>
            <w:pPr>
              <w:spacing w:after="0"/>
              <w:jc w:val="left"/>
            </w:pPr>
            <w:r>
              <w:rPr/>
            </w:r>
            <w:r>
              <w:rPr>
                <w:rFonts w:ascii="Times New Roman" w:hAnsi="Times New Roman" w:eastAsia="Times New Roman"/>
                <w:b w:val="0"/>
                <w:i w:val="0"/>
                <w:sz w:val="18"/>
              </w:rPr>
              <w:t>Dấu hiệu cố ý trực tiếp có thể phân tích đối với Đạt; không suy rộng sang các cá nhân khác.</w:t>
            </w:r>
          </w:p>
        </w:tc>
        <w:tc>
          <w:tcPr>
            <w:tcW w:type="dxa" w:w="2239"/>
            <w:vAlign w:val="center"/>
          </w:tcPr>
          <w:p>
            <w:pPr>
              <w:spacing w:after="0"/>
              <w:jc w:val="left"/>
            </w:pPr>
            <w:r>
              <w:rPr/>
            </w:r>
            <w:r>
              <w:rPr>
                <w:rFonts w:ascii="Times New Roman" w:hAnsi="Times New Roman" w:eastAsia="Times New Roman"/>
                <w:b w:val="0"/>
                <w:i w:val="0"/>
                <w:sz w:val="18"/>
              </w:rPr>
              <w:t>Kết luận có điều kiện, tôn trọng giới hạn chứng cứ.</w:t>
            </w:r>
          </w:p>
        </w:tc>
      </w:tr>
    </w:tbl>
    <w:p>
      <w:pPr>
        <w:pStyle w:val="Heading1"/>
        <w:ind w:firstLine="0"/>
        <w:jc w:val="center"/>
      </w:pPr>
      <w:r>
        <w:rPr>
          <w:rFonts w:ascii="Times New Roman" w:hAnsi="Times New Roman" w:eastAsia="Times New Roman"/>
          <w:b w:val="0"/>
          <w:i w:val="0"/>
          <w:sz w:val="32"/>
        </w:rPr>
        <w:t>CHƯƠNG 4: NHẬN XÉT, BÀI HỌC KINH NGHIỆM VÀ KIẾN NGHỊ</w:t>
      </w:r>
    </w:p>
    <w:p>
      <w:pPr>
        <w:pStyle w:val="Heading2"/>
        <w:ind w:firstLine="0"/>
        <w:jc w:val="center"/>
      </w:pPr>
      <w:r>
        <w:rPr>
          <w:rFonts w:ascii="Times New Roman" w:hAnsi="Times New Roman" w:eastAsia="Times New Roman"/>
          <w:b w:val="0"/>
          <w:i w:val="0"/>
          <w:sz w:val="30"/>
        </w:rPr>
        <w:t>4.1. Nhận xét đánh giá tổng quan về tính chất vi phạm trên không gian mạng</w:t>
      </w:r>
    </w:p>
    <w:p>
      <w:pPr>
        <w:ind w:firstLine="709"/>
        <w:jc w:val="both"/>
      </w:pPr>
      <w:r>
        <w:rPr>
          <w:rFonts w:ascii="Times New Roman" w:hAnsi="Times New Roman" w:eastAsia="Times New Roman"/>
          <w:b w:val="0"/>
          <w:i w:val="0"/>
          <w:sz w:val="26"/>
        </w:rPr>
        <w:t>Vụ việc bị khởi tố tại Phú Thọ phản ánh một số đặc điểm đáng chú ý của các hành vi vi phạm pháp luật trên nền tảng số hiện nay:</w:t>
      </w:r>
    </w:p>
    <w:p>
      <w:pPr>
        <w:pStyle w:val="ListBullet"/>
        <w:ind w:firstLine="0"/>
        <w:jc w:val="both"/>
      </w:pPr>
      <w:r>
        <w:rPr>
          <w:rFonts w:ascii="Times New Roman" w:hAnsi="Times New Roman" w:eastAsia="Times New Roman"/>
          <w:b/>
          <w:i w:val="0"/>
          <w:sz w:val="26"/>
        </w:rPr>
        <w:t>Tổ chức phân công công việc chặt chẽ:</w:t>
      </w:r>
      <w:r>
        <w:rPr>
          <w:rFonts w:ascii="Times New Roman" w:hAnsi="Times New Roman" w:eastAsia="Times New Roman"/>
          <w:b w:val="0"/>
          <w:i w:val="0"/>
          <w:sz w:val="26"/>
        </w:rPr>
        <w:t xml:space="preserve"> Hoạt động kinh doanh được chia tách thành các công đoạn chuyên trách (sản xuất nội dung, quản trị quảng cáo, tư vấn bán hàng, vận chuyển).</w:t>
      </w:r>
    </w:p>
    <w:p>
      <w:pPr>
        <w:pStyle w:val="ListBullet"/>
        <w:ind w:firstLine="0"/>
        <w:jc w:val="both"/>
      </w:pPr>
      <w:r>
        <w:rPr>
          <w:rFonts w:ascii="Times New Roman" w:hAnsi="Times New Roman" w:eastAsia="Times New Roman"/>
          <w:b/>
          <w:i w:val="0"/>
          <w:sz w:val="26"/>
        </w:rPr>
        <w:t>Khai thác bất cân xứng thông tin:</w:t>
      </w:r>
      <w:r>
        <w:rPr>
          <w:rFonts w:ascii="Times New Roman" w:hAnsi="Times New Roman" w:eastAsia="Times New Roman"/>
          <w:b w:val="0"/>
          <w:i w:val="0"/>
          <w:sz w:val="26"/>
        </w:rPr>
        <w:t xml:space="preserve"> Dữ kiện công khai về nội dung phóng đại, sai lệch cho thấy rủi ro người tiếp nhận quảng cáo không có đủ thông tin để đánh giá sản phẩm.</w:t>
      </w:r>
    </w:p>
    <w:p>
      <w:pPr>
        <w:pStyle w:val="ListBullet"/>
        <w:ind w:firstLine="0"/>
        <w:jc w:val="both"/>
      </w:pPr>
      <w:r>
        <w:rPr>
          <w:rFonts w:ascii="Times New Roman" w:hAnsi="Times New Roman" w:eastAsia="Times New Roman"/>
          <w:b/>
          <w:i w:val="0"/>
          <w:sz w:val="26"/>
        </w:rPr>
        <w:t>Quy mô tiếp cận trên môi trường số:</w:t>
      </w:r>
      <w:r>
        <w:rPr>
          <w:rFonts w:ascii="Times New Roman" w:hAnsi="Times New Roman" w:eastAsia="Times New Roman"/>
          <w:b w:val="0"/>
          <w:i w:val="0"/>
          <w:sz w:val="26"/>
        </w:rPr>
        <w:t xml:space="preserve"> Việc bài báo ghi nhận 5.429 đơn hàng trên phạm vi cả nước cho thấy khả năng lan truyền rộng của hoạt động bán hàng trên mạng xã hội; nguồn không xác định nền tảng hoặc phương thức thanh toán cụ thể.</w:t>
      </w:r>
    </w:p>
    <w:p>
      <w:pPr>
        <w:pStyle w:val="Heading2"/>
        <w:ind w:firstLine="0"/>
        <w:jc w:val="center"/>
      </w:pPr>
      <w:r>
        <w:rPr>
          <w:rFonts w:ascii="Times New Roman" w:hAnsi="Times New Roman" w:eastAsia="Times New Roman"/>
          <w:b w:val="0"/>
          <w:i w:val="0"/>
          <w:sz w:val="30"/>
        </w:rPr>
        <w:t>4.2. Bài học kinh nghiệm đối với hoạt động kinh doanh trực tuyến</w:t>
      </w:r>
    </w:p>
    <w:p>
      <w:pPr>
        <w:pStyle w:val="ListBullet"/>
        <w:ind w:firstLine="0"/>
        <w:jc w:val="both"/>
      </w:pPr>
      <w:r>
        <w:rPr>
          <w:rFonts w:ascii="Times New Roman" w:hAnsi="Times New Roman" w:eastAsia="Times New Roman"/>
          <w:b/>
          <w:i w:val="0"/>
          <w:sz w:val="26"/>
        </w:rPr>
        <w:t>Tuân thủ đạo đức kinh doanh và quy định pháp luật:</w:t>
      </w:r>
      <w:r>
        <w:rPr>
          <w:rFonts w:ascii="Times New Roman" w:hAnsi="Times New Roman" w:eastAsia="Times New Roman"/>
          <w:b w:val="0"/>
          <w:i w:val="0"/>
          <w:sz w:val="26"/>
        </w:rPr>
        <w:t xml:space="preserve"> Hoạt động thương mại trực tuyến chỉ bền vững khi cung cấp thông tin trung thực về nguồn gốc, xuất xứ và công dụng thực tế của hàng hóa.</w:t>
      </w:r>
    </w:p>
    <w:p>
      <w:pPr>
        <w:pStyle w:val="ListBullet"/>
        <w:ind w:firstLine="0"/>
        <w:jc w:val="both"/>
      </w:pPr>
      <w:r>
        <w:rPr>
          <w:rFonts w:ascii="Times New Roman" w:hAnsi="Times New Roman" w:eastAsia="Times New Roman"/>
          <w:b/>
          <w:i w:val="0"/>
          <w:sz w:val="26"/>
        </w:rPr>
        <w:t>Chấp hành nghiêm quy định về quảng cáo:</w:t>
      </w:r>
      <w:r>
        <w:rPr>
          <w:rFonts w:ascii="Times New Roman" w:hAnsi="Times New Roman" w:eastAsia="Times New Roman"/>
          <w:b w:val="0"/>
          <w:i w:val="0"/>
          <w:sz w:val="26"/>
        </w:rPr>
        <w:t xml:space="preserve"> Mọi nội dung tiếp thị sản phẩm chăm sóc sức khỏe bắt buộc phải tuân thủ Luật Quảng cáo năm 2012 (sửa đổi, bổ sung 2018, 2025) và các quy chuẩn chuyên ngành; tuyệt đối không tự ý sử dụng hình ảnh của cá nhân khác khi chưa được cho phép.</w:t>
      </w:r>
    </w:p>
    <w:p>
      <w:pPr>
        <w:pStyle w:val="Heading2"/>
        <w:ind w:firstLine="0"/>
        <w:jc w:val="center"/>
      </w:pPr>
      <w:r>
        <w:rPr>
          <w:rFonts w:ascii="Times New Roman" w:hAnsi="Times New Roman" w:eastAsia="Times New Roman"/>
          <w:b w:val="0"/>
          <w:i w:val="0"/>
          <w:sz w:val="30"/>
        </w:rPr>
        <w:t>4.3. Bài học cảnh giác và tự bảo vệ đối với người tiêu dùng</w:t>
      </w:r>
    </w:p>
    <w:p>
      <w:pPr>
        <w:pStyle w:val="ListBullet"/>
        <w:ind w:firstLine="0"/>
        <w:jc w:val="both"/>
      </w:pPr>
      <w:r>
        <w:rPr>
          <w:rFonts w:ascii="Times New Roman" w:hAnsi="Times New Roman" w:eastAsia="Times New Roman"/>
          <w:b/>
          <w:i w:val="0"/>
          <w:sz w:val="26"/>
        </w:rPr>
        <w:t>Thận trọng trước các nội dung quảng cáo phóng đại:</w:t>
      </w:r>
      <w:r>
        <w:rPr>
          <w:rFonts w:ascii="Times New Roman" w:hAnsi="Times New Roman" w:eastAsia="Times New Roman"/>
          <w:b w:val="0"/>
          <w:i w:val="0"/>
          <w:sz w:val="26"/>
        </w:rPr>
        <w:t xml:space="preserve"> Người tiêu dùng cần tỉnh táo trước các cam kết mang tính tuyệt đối như "khỏi bệnh hoàn toàn", "trị dứt điểm" trên mạng xã hội.</w:t>
      </w:r>
    </w:p>
    <w:p>
      <w:pPr>
        <w:pStyle w:val="ListBullet"/>
        <w:ind w:firstLine="0"/>
        <w:jc w:val="both"/>
      </w:pPr>
      <w:r>
        <w:rPr>
          <w:rFonts w:ascii="Times New Roman" w:hAnsi="Times New Roman" w:eastAsia="Times New Roman"/>
          <w:b/>
          <w:i w:val="0"/>
          <w:sz w:val="26"/>
        </w:rPr>
        <w:t>Kiểm tra tính pháp lý của sản phẩm:</w:t>
      </w:r>
      <w:r>
        <w:rPr>
          <w:rFonts w:ascii="Times New Roman" w:hAnsi="Times New Roman" w:eastAsia="Times New Roman"/>
          <w:b w:val="0"/>
          <w:i w:val="0"/>
          <w:sz w:val="26"/>
        </w:rPr>
        <w:t xml:space="preserve"> Chủ động tra cứu số tiếp nhận đăng ký bản công bố sản phẩm trên cổng thông tin của cơ quan y tế có thẩm quyền trước khi quyết định mua hàng.</w:t>
      </w:r>
    </w:p>
    <w:p>
      <w:pPr>
        <w:pStyle w:val="ListBullet"/>
        <w:ind w:firstLine="0"/>
        <w:jc w:val="both"/>
      </w:pPr>
      <w:r>
        <w:rPr>
          <w:rFonts w:ascii="Times New Roman" w:hAnsi="Times New Roman" w:eastAsia="Times New Roman"/>
          <w:b/>
          <w:i w:val="0"/>
          <w:sz w:val="26"/>
        </w:rPr>
        <w:t>Thăm khám y tế chính quy:</w:t>
      </w:r>
      <w:r>
        <w:rPr>
          <w:rFonts w:ascii="Times New Roman" w:hAnsi="Times New Roman" w:eastAsia="Times New Roman"/>
          <w:b w:val="0"/>
          <w:i w:val="0"/>
          <w:sz w:val="26"/>
        </w:rPr>
        <w:t xml:space="preserve"> Khi có các vấn đề về sức khỏe, người dân nên đến các cơ sở y tế có giấy phép hoạt động để được chẩn đoán và điều trị khoa học.</w:t>
      </w:r>
    </w:p>
    <w:p>
      <w:pPr>
        <w:pStyle w:val="Heading2"/>
        <w:ind w:firstLine="0"/>
        <w:jc w:val="center"/>
      </w:pPr>
      <w:r>
        <w:rPr>
          <w:rFonts w:ascii="Times New Roman" w:hAnsi="Times New Roman" w:eastAsia="Times New Roman"/>
          <w:b w:val="0"/>
          <w:i w:val="0"/>
          <w:sz w:val="30"/>
        </w:rPr>
        <w:t>4.4. Bài học nâng cao nhận thức pháp luật và đạo đức số cho sinh viên CNTT</w:t>
      </w:r>
    </w:p>
    <w:p>
      <w:pPr>
        <w:ind w:firstLine="709"/>
        <w:jc w:val="both"/>
      </w:pPr>
      <w:r>
        <w:rPr>
          <w:rFonts w:ascii="Times New Roman" w:hAnsi="Times New Roman" w:eastAsia="Times New Roman"/>
          <w:b w:val="0"/>
          <w:i w:val="0"/>
          <w:sz w:val="26"/>
        </w:rPr>
        <w:t>Vụ việc mang lại nhiều bài học thực tiễn giá trị cho sinh viên Trường Đại học Công nghệ Thông tin (UIT):</w:t>
      </w:r>
    </w:p>
    <w:p>
      <w:pPr>
        <w:pStyle w:val="ListBullet"/>
        <w:ind w:firstLine="0"/>
        <w:jc w:val="both"/>
      </w:pPr>
      <w:r>
        <w:rPr>
          <w:rFonts w:ascii="Times New Roman" w:hAnsi="Times New Roman" w:eastAsia="Times New Roman"/>
          <w:b/>
          <w:i w:val="0"/>
          <w:sz w:val="26"/>
        </w:rPr>
        <w:t>Trách nhiệm pháp lý trong các công việc kỹ thuật số:</w:t>
      </w:r>
      <w:r>
        <w:rPr>
          <w:rFonts w:ascii="Times New Roman" w:hAnsi="Times New Roman" w:eastAsia="Times New Roman"/>
          <w:b w:val="0"/>
          <w:i w:val="0"/>
          <w:sz w:val="26"/>
        </w:rPr>
        <w:t xml:space="preserve"> Khi làm các công việc bán thời gian như chạy quảng cáo, chỉnh sửa video, quản trị fanpage, sinh viên cần có nhận thức rõ ràng về tính hợp pháp của nội dung mình tạo ra; không tham gia vào các hoạt động cắt ghép hình ảnh giả mạo hoặc truyền bá thông tin lừa dối người tiêu dùng.</w:t>
      </w:r>
    </w:p>
    <w:p>
      <w:pPr>
        <w:pStyle w:val="ListBullet"/>
        <w:ind w:firstLine="0"/>
        <w:jc w:val="both"/>
      </w:pPr>
      <w:r>
        <w:rPr>
          <w:rFonts w:ascii="Times New Roman" w:hAnsi="Times New Roman" w:eastAsia="Times New Roman"/>
          <w:b/>
          <w:i w:val="0"/>
          <w:sz w:val="26"/>
        </w:rPr>
        <w:t>Hiểu biết về trách nhiệm liên đới trong vi phạm pháp luật:</w:t>
      </w:r>
      <w:r>
        <w:rPr>
          <w:rFonts w:ascii="Times New Roman" w:hAnsi="Times New Roman" w:eastAsia="Times New Roman"/>
          <w:b w:val="0"/>
          <w:i w:val="0"/>
          <w:sz w:val="26"/>
        </w:rPr>
        <w:t xml:space="preserve"> Việc hỗ trợ kỹ thuật hoặc tham gia vào quy trình phát tán thông tin gian dối có thể bị xem xét trách nhiệm pháp lý tùy theo mức độ nhận thức và hành vi cụ thể.</w:t>
      </w:r>
    </w:p>
    <w:p>
      <w:pPr>
        <w:pStyle w:val="ListBullet"/>
        <w:ind w:firstLine="0"/>
        <w:jc w:val="both"/>
      </w:pPr>
      <w:r>
        <w:rPr>
          <w:rFonts w:ascii="Times New Roman" w:hAnsi="Times New Roman" w:eastAsia="Times New Roman"/>
          <w:b/>
          <w:i w:val="0"/>
          <w:sz w:val="26"/>
        </w:rPr>
        <w:t>Đạo đức nghề nghiệp trong thời đại số (Digital Ethics):</w:t>
      </w:r>
      <w:r>
        <w:rPr>
          <w:rFonts w:ascii="Times New Roman" w:hAnsi="Times New Roman" w:eastAsia="Times New Roman"/>
          <w:b w:val="0"/>
          <w:i w:val="0"/>
          <w:sz w:val="26"/>
        </w:rPr>
        <w:t xml:space="preserve"> Tri thức công nghệ cần được sử dụng để xây dựng các giải pháp hữu ích, phục vụ cộng đồng, không tiếp tay cho các hành vi gian dối thương mại.</w:t>
      </w:r>
    </w:p>
    <w:p>
      <w:pPr>
        <w:pStyle w:val="Heading2"/>
        <w:ind w:firstLine="0"/>
        <w:jc w:val="center"/>
      </w:pPr>
      <w:r>
        <w:rPr>
          <w:rFonts w:ascii="Times New Roman" w:hAnsi="Times New Roman" w:eastAsia="Times New Roman"/>
          <w:b w:val="0"/>
          <w:i w:val="0"/>
          <w:sz w:val="30"/>
        </w:rPr>
        <w:t>4.5. Một số kiến nghị thực tiễn nhằm hoàn thiện cơ chế quản lý</w:t>
      </w:r>
    </w:p>
    <w:p>
      <w:pPr>
        <w:ind w:firstLine="709"/>
        <w:jc w:val="both"/>
      </w:pPr>
      <w:r>
        <w:rPr>
          <w:rFonts w:ascii="Times New Roman" w:hAnsi="Times New Roman" w:eastAsia="Times New Roman"/>
          <w:b w:val="0"/>
          <w:i w:val="0"/>
          <w:sz w:val="26"/>
        </w:rPr>
        <w:t>Để góp phần hạn chế các vi phạm tương tự, một số giải pháp có thể được xem xét:</w:t>
      </w:r>
    </w:p>
    <w:p>
      <w:pPr>
        <w:pStyle w:val="ListNumber"/>
        <w:ind w:firstLine="0"/>
        <w:jc w:val="both"/>
      </w:pPr>
      <w:r>
        <w:rPr>
          <w:rFonts w:ascii="Times New Roman" w:hAnsi="Times New Roman" w:eastAsia="Times New Roman"/>
          <w:b/>
          <w:i w:val="0"/>
          <w:sz w:val="26"/>
        </w:rPr>
        <w:t>Đối với cơ quan quản lý nhà nước:</w:t>
      </w:r>
    </w:p>
    <w:p>
      <w:pPr>
        <w:pStyle w:val="ListBullet"/>
        <w:ind w:firstLine="0"/>
        <w:jc w:val="both"/>
      </w:pPr>
      <w:r>
        <w:rPr>
          <w:rFonts w:ascii="Times New Roman" w:hAnsi="Times New Roman" w:eastAsia="Times New Roman"/>
          <w:b w:val="0"/>
          <w:i w:val="0"/>
          <w:sz w:val="26"/>
        </w:rPr>
        <w:t>Tăng cường ứng dụng các công cụ rà quét tự động trên không gian mạng để kịp thời phát hiện các chiến dịch quảng cáo y dược có dấu hiệu vi phạm.</w:t>
      </w:r>
    </w:p>
    <w:p>
      <w:pPr>
        <w:pStyle w:val="ListBullet"/>
        <w:ind w:firstLine="0"/>
        <w:jc w:val="both"/>
      </w:pPr>
      <w:r>
        <w:rPr>
          <w:rFonts w:ascii="Times New Roman" w:hAnsi="Times New Roman" w:eastAsia="Times New Roman"/>
          <w:b w:val="0"/>
          <w:i w:val="0"/>
          <w:sz w:val="26"/>
        </w:rPr>
        <w:t>Tăng cường phối hợp giữa cơ quan quản lý thị trường, cơ quan quản lý thông tin và cơ quan điều tra khi xử lý dấu hiệu quảng cáo sai lệch trên môi trường số.</w:t>
      </w:r>
    </w:p>
    <w:p>
      <w:pPr>
        <w:pStyle w:val="ListNumber"/>
        <w:ind w:firstLine="0"/>
        <w:jc w:val="both"/>
      </w:pPr>
      <w:r>
        <w:rPr>
          <w:rFonts w:ascii="Times New Roman" w:hAnsi="Times New Roman" w:eastAsia="Times New Roman"/>
          <w:b/>
          <w:i w:val="0"/>
          <w:sz w:val="26"/>
        </w:rPr>
        <w:t>Đối với các nền tảng mạng xã hội:</w:t>
      </w:r>
    </w:p>
    <w:p>
      <w:pPr>
        <w:pStyle w:val="ListBullet"/>
        <w:ind w:firstLine="0"/>
        <w:jc w:val="both"/>
      </w:pPr>
      <w:r>
        <w:rPr>
          <w:rFonts w:ascii="Times New Roman" w:hAnsi="Times New Roman" w:eastAsia="Times New Roman"/>
          <w:b w:val="0"/>
          <w:i w:val="0"/>
          <w:sz w:val="26"/>
        </w:rPr>
        <w:t>Hoàn thiện chính sách kiểm duyệt quảng cáo đối với nhóm sản phẩm chăm sóc sức khỏe, yêu cầu cung cấp tài liệu chứng minh tính hợp pháp của sản phẩm trước khi phê duyệt chiến dịch.</w:t>
      </w:r>
    </w:p>
    <w:p>
      <w:pPr>
        <w:pStyle w:val="ListBullet"/>
        <w:ind w:firstLine="0"/>
        <w:jc w:val="both"/>
      </w:pPr>
      <w:r>
        <w:rPr>
          <w:rFonts w:ascii="Times New Roman" w:hAnsi="Times New Roman" w:eastAsia="Times New Roman"/>
          <w:b w:val="0"/>
          <w:i w:val="0"/>
          <w:sz w:val="26"/>
        </w:rPr>
        <w:t>Duy trì cơ chế tiếp nhận và xử lý phản ánh về nội dung quảng cáo có dấu hiệu dùng hình ảnh cá nhân hoặc thông tin sai lệch.</w:t>
      </w:r>
    </w:p>
    <w:p>
      <w:pPr>
        <w:pStyle w:val="Heading1"/>
        <w:ind w:firstLine="0"/>
        <w:jc w:val="center"/>
      </w:pPr>
      <w:r>
        <w:rPr>
          <w:rFonts w:ascii="Times New Roman" w:hAnsi="Times New Roman" w:eastAsia="Times New Roman"/>
          <w:b w:val="0"/>
          <w:i w:val="0"/>
          <w:sz w:val="32"/>
        </w:rPr>
        <w:t>KẾT LUẬN</w:t>
      </w:r>
    </w:p>
    <w:p>
      <w:pPr>
        <w:ind w:firstLine="709"/>
        <w:jc w:val="both"/>
      </w:pPr>
      <w:r>
        <w:rPr>
          <w:rFonts w:ascii="Times New Roman" w:hAnsi="Times New Roman" w:eastAsia="Times New Roman"/>
          <w:b w:val="0"/>
          <w:i w:val="0"/>
          <w:sz w:val="26"/>
        </w:rPr>
        <w:t>Phân tích cấu thành vi phạm pháp luật là phương pháp luận quan trọng của môn học Pháp luật đại cương, giúp làm sáng tỏ bản chất pháp lý của các hiện tượng tiêu cực trong đời sống xã hội. Qua việc xem xét vụ việc Cơ quan Cảnh sát điều tra Công an tỉnh Phú Thọ khởi tố 21 bị can liên quan đến sản phẩm "Xương khớp bà Sáu", bài tiểu luận đã làm rõ bốn yếu tố cấu thành:</w:t>
      </w:r>
    </w:p>
    <w:p>
      <w:pPr>
        <w:pStyle w:val="ListNumber"/>
        <w:ind w:firstLine="0"/>
        <w:jc w:val="both"/>
      </w:pPr>
      <w:r>
        <w:rPr>
          <w:rFonts w:ascii="Times New Roman" w:hAnsi="Times New Roman" w:eastAsia="Times New Roman"/>
          <w:b/>
          <w:i w:val="0"/>
          <w:sz w:val="26"/>
        </w:rPr>
        <w:t>Khách thể:</w:t>
      </w:r>
      <w:r>
        <w:rPr>
          <w:rFonts w:ascii="Times New Roman" w:hAnsi="Times New Roman" w:eastAsia="Times New Roman"/>
          <w:b w:val="0"/>
          <w:i w:val="0"/>
          <w:sz w:val="26"/>
        </w:rPr>
        <w:t xml:space="preserve"> Các dữ kiện công khai cho phép phân tích quan hệ quản lý quảng cáo, thương mại và quyền được cung cấp thông tin trung thực của người tiêu dùng; “khách hàng” không phải tự thân là khách thể.</w:t>
      </w:r>
    </w:p>
    <w:p>
      <w:pPr>
        <w:pStyle w:val="ListNumber"/>
        <w:ind w:firstLine="0"/>
        <w:jc w:val="both"/>
      </w:pPr>
      <w:r>
        <w:rPr>
          <w:rFonts w:ascii="Times New Roman" w:hAnsi="Times New Roman" w:eastAsia="Times New Roman"/>
          <w:b/>
          <w:i w:val="0"/>
          <w:sz w:val="26"/>
        </w:rPr>
        <w:t>Mặt khách quan:</w:t>
      </w:r>
      <w:r>
        <w:rPr>
          <w:rFonts w:ascii="Times New Roman" w:hAnsi="Times New Roman" w:eastAsia="Times New Roman"/>
          <w:b w:val="0"/>
          <w:i w:val="0"/>
          <w:sz w:val="26"/>
        </w:rPr>
        <w:t xml:space="preserve"> Có dữ kiện về nội dung quảng cáo phóng đại, sai lệch, hình ảnh/video người nổi tiếng bị chỉnh sửa, cắt ghép và 5.429 đơn hàng với tổng giá trị tiền hàng hơn 2,67 tỷ đồng.</w:t>
      </w:r>
    </w:p>
    <w:p>
      <w:pPr>
        <w:pStyle w:val="ListNumber"/>
        <w:ind w:firstLine="0"/>
        <w:jc w:val="both"/>
      </w:pPr>
      <w:r>
        <w:rPr>
          <w:rFonts w:ascii="Times New Roman" w:hAnsi="Times New Roman" w:eastAsia="Times New Roman"/>
          <w:b/>
          <w:i w:val="0"/>
          <w:sz w:val="26"/>
        </w:rPr>
        <w:t>Chủ thể:</w:t>
      </w:r>
      <w:r>
        <w:rPr>
          <w:rFonts w:ascii="Times New Roman" w:hAnsi="Times New Roman" w:eastAsia="Times New Roman"/>
          <w:b w:val="0"/>
          <w:i w:val="0"/>
          <w:sz w:val="26"/>
        </w:rPr>
        <w:t xml:space="preserve"> Đạt cùng 20 bị can bị khởi tố ngày 07/8/2026; riêng Đạt sinh năm 1997. Nguồn công khai không đủ để đánh giá năng lực trách nhiệm pháp lý của tất cả những người khác.</w:t>
      </w:r>
    </w:p>
    <w:p>
      <w:pPr>
        <w:pStyle w:val="ListNumber"/>
        <w:ind w:firstLine="0"/>
        <w:jc w:val="both"/>
      </w:pPr>
      <w:r>
        <w:rPr>
          <w:rFonts w:ascii="Times New Roman" w:hAnsi="Times New Roman" w:eastAsia="Times New Roman"/>
          <w:b/>
          <w:i w:val="0"/>
          <w:sz w:val="26"/>
        </w:rPr>
        <w:t>Mặt chủ quan:</w:t>
      </w:r>
      <w:r>
        <w:rPr>
          <w:rFonts w:ascii="Times New Roman" w:hAnsi="Times New Roman" w:eastAsia="Times New Roman"/>
          <w:b w:val="0"/>
          <w:i w:val="0"/>
          <w:sz w:val="26"/>
        </w:rPr>
        <w:t xml:space="preserve"> Dữ kiện về chỉ đạo nội dung quảng cáo của Đạt là cơ sở để phân tích dấu hiệu cố ý; mức độ lỗi của từng cá nhân khác phải chờ kết quả điều tra và xét xử.</w:t>
      </w:r>
    </w:p>
    <w:p>
      <w:pPr>
        <w:ind w:firstLine="709"/>
        <w:jc w:val="both"/>
      </w:pPr>
      <w:r>
        <w:rPr>
          <w:rFonts w:ascii="Times New Roman" w:hAnsi="Times New Roman" w:eastAsia="Times New Roman"/>
          <w:b w:val="0"/>
          <w:i w:val="0"/>
          <w:sz w:val="26"/>
        </w:rPr>
        <w:t>Báo cáo tiểu luận không chỉ góp phần củng cố tư duy pháp lý khoa học cho sinh viên UIT mà còn nhấn mạnh ý nghĩa của việc giữ gìn đạo đức nghề nghiệp số và tinh thần thượng tôn pháp luật trong môi trường công nghệ thông tin hiện đại.</w:t>
      </w:r>
    </w:p>
    <w:p>
      <w:pPr>
        <w:ind w:firstLine="709"/>
        <w:jc w:val="both"/>
      </w:pPr>
      <w:r>
        <w:rPr>
          <w:rFonts w:ascii="Times New Roman" w:hAnsi="Times New Roman" w:eastAsia="Times New Roman"/>
          <w:b w:val="0"/>
          <w:i/>
          <w:sz w:val="26"/>
        </w:rPr>
        <w:t>(Toàn bộ các nội dung phân tích trong bài tiểu luận được thực hiện dựa trên các dữ liệu công khai ban đầu do cơ quan điều tra công bố, bảo đảm tính khách quan học thuật và tôn trọng nguyên tắc suy đoán vô tội trong tố tụng).</w:t>
      </w:r>
    </w:p>
    <w:p>
      <w:pPr>
        <w:pStyle w:val="Heading1"/>
        <w:ind w:firstLine="0"/>
        <w:jc w:val="center"/>
      </w:pPr>
      <w:r>
        <w:rPr>
          <w:rFonts w:ascii="Times New Roman" w:hAnsi="Times New Roman" w:eastAsia="Times New Roman"/>
          <w:b w:val="0"/>
          <w:i w:val="0"/>
          <w:sz w:val="32"/>
        </w:rPr>
        <w:t>TÀI LIỆU THAM KHẢO</w:t>
      </w:r>
    </w:p>
    <w:p>
      <w:pPr>
        <w:pStyle w:val="Heading2"/>
        <w:ind w:firstLine="0"/>
        <w:jc w:val="center"/>
      </w:pPr>
      <w:r>
        <w:rPr>
          <w:rFonts w:ascii="Times New Roman" w:hAnsi="Times New Roman" w:eastAsia="Times New Roman"/>
          <w:b w:val="0"/>
          <w:i w:val="0"/>
          <w:sz w:val="30"/>
        </w:rPr>
        <w:t>A. Văn bản quy phạm pháp luật</w:t>
      </w:r>
    </w:p>
    <w:p>
      <w:pPr>
        <w:pStyle w:val="ListNumber"/>
        <w:ind w:firstLine="0"/>
        <w:jc w:val="both"/>
      </w:pPr>
      <w:r>
        <w:rPr>
          <w:rFonts w:ascii="Times New Roman" w:hAnsi="Times New Roman" w:eastAsia="Times New Roman"/>
          <w:b/>
          <w:i w:val="0"/>
          <w:sz w:val="26"/>
        </w:rPr>
        <w:t>Quốc hội nước Cộng hòa Xã hội Chủ nghĩa Việt Nam (2015)</w:t>
      </w:r>
      <w:r>
        <w:rPr>
          <w:rFonts w:ascii="Times New Roman" w:hAnsi="Times New Roman" w:eastAsia="Times New Roman"/>
          <w:b w:val="0"/>
          <w:i w:val="0"/>
          <w:sz w:val="26"/>
        </w:rPr>
        <w:t xml:space="preserve">, </w:t>
      </w:r>
      <w:r>
        <w:rPr>
          <w:rFonts w:ascii="Times New Roman" w:hAnsi="Times New Roman" w:eastAsia="Times New Roman"/>
          <w:b w:val="0"/>
          <w:i/>
          <w:sz w:val="26"/>
        </w:rPr>
        <w:t>Bộ luật Hình sự số 100/2015/QH13</w:t>
      </w:r>
      <w:r>
        <w:rPr>
          <w:rFonts w:ascii="Times New Roman" w:hAnsi="Times New Roman" w:eastAsia="Times New Roman"/>
          <w:b w:val="0"/>
          <w:i w:val="0"/>
          <w:sz w:val="26"/>
        </w:rPr>
        <w:t xml:space="preserve"> ngày 27/11/2015 (được sửa đổi, bổ sung theo Luật số 12/2017/QH14 ngày 20/6/2017).</w:t>
      </w:r>
    </w:p>
    <w:p>
      <w:pPr>
        <w:pStyle w:val="ListNumber"/>
        <w:ind w:firstLine="0"/>
        <w:jc w:val="both"/>
      </w:pPr>
      <w:r>
        <w:rPr>
          <w:rFonts w:ascii="Times New Roman" w:hAnsi="Times New Roman" w:eastAsia="Times New Roman"/>
          <w:b/>
          <w:i w:val="0"/>
          <w:sz w:val="26"/>
        </w:rPr>
        <w:t>Quốc hội nước Cộng hòa Xã hội Chủ nghĩa Việt Nam (2015)</w:t>
      </w:r>
      <w:r>
        <w:rPr>
          <w:rFonts w:ascii="Times New Roman" w:hAnsi="Times New Roman" w:eastAsia="Times New Roman"/>
          <w:b w:val="0"/>
          <w:i w:val="0"/>
          <w:sz w:val="26"/>
        </w:rPr>
        <w:t xml:space="preserve">, </w:t>
      </w:r>
      <w:r>
        <w:rPr>
          <w:rFonts w:ascii="Times New Roman" w:hAnsi="Times New Roman" w:eastAsia="Times New Roman"/>
          <w:b w:val="0"/>
          <w:i/>
          <w:sz w:val="26"/>
        </w:rPr>
        <w:t>Bộ luật Dân sự số 91/2015/QH13</w:t>
      </w:r>
      <w:r>
        <w:rPr>
          <w:rFonts w:ascii="Times New Roman" w:hAnsi="Times New Roman" w:eastAsia="Times New Roman"/>
          <w:b w:val="0"/>
          <w:i w:val="0"/>
          <w:sz w:val="26"/>
        </w:rPr>
        <w:t xml:space="preserve"> ngày 24/11/2015.</w:t>
      </w:r>
    </w:p>
    <w:p>
      <w:pPr>
        <w:pStyle w:val="ListNumber"/>
        <w:ind w:firstLine="0"/>
        <w:jc w:val="both"/>
      </w:pPr>
      <w:r>
        <w:rPr>
          <w:rFonts w:ascii="Times New Roman" w:hAnsi="Times New Roman" w:eastAsia="Times New Roman"/>
          <w:b/>
          <w:i w:val="0"/>
          <w:sz w:val="26"/>
        </w:rPr>
        <w:t>Quốc hội nước Cộng hòa Xã hội Chủ nghĩa Việt Nam (2012)</w:t>
      </w:r>
      <w:r>
        <w:rPr>
          <w:rFonts w:ascii="Times New Roman" w:hAnsi="Times New Roman" w:eastAsia="Times New Roman"/>
          <w:b w:val="0"/>
          <w:i w:val="0"/>
          <w:sz w:val="26"/>
        </w:rPr>
        <w:t xml:space="preserve">, </w:t>
      </w:r>
      <w:r>
        <w:rPr>
          <w:rFonts w:ascii="Times New Roman" w:hAnsi="Times New Roman" w:eastAsia="Times New Roman"/>
          <w:b w:val="0"/>
          <w:i/>
          <w:sz w:val="26"/>
        </w:rPr>
        <w:t>Luật Quảng cáo số 16/2012/QH13</w:t>
      </w:r>
      <w:r>
        <w:rPr>
          <w:rFonts w:ascii="Times New Roman" w:hAnsi="Times New Roman" w:eastAsia="Times New Roman"/>
          <w:b w:val="0"/>
          <w:i w:val="0"/>
          <w:sz w:val="26"/>
        </w:rPr>
        <w:t xml:space="preserve"> ngày 21/6/2012 (được sửa đổi, bổ sung theo Luật số 35/2018/QH14 và Luật số 75/2025/QH15, có hiệu lực từ ngày 01/01/2026).</w:t>
      </w:r>
    </w:p>
    <w:p>
      <w:pPr>
        <w:pStyle w:val="ListNumber"/>
        <w:ind w:firstLine="0"/>
        <w:jc w:val="both"/>
      </w:pPr>
      <w:r>
        <w:rPr>
          <w:rFonts w:ascii="Times New Roman" w:hAnsi="Times New Roman" w:eastAsia="Times New Roman"/>
          <w:b/>
          <w:i w:val="0"/>
          <w:sz w:val="26"/>
        </w:rPr>
        <w:t>Quốc hội nước Cộng hòa Xã hội Chủ nghĩa Việt Nam (2023)</w:t>
      </w:r>
      <w:r>
        <w:rPr>
          <w:rFonts w:ascii="Times New Roman" w:hAnsi="Times New Roman" w:eastAsia="Times New Roman"/>
          <w:b w:val="0"/>
          <w:i w:val="0"/>
          <w:sz w:val="26"/>
        </w:rPr>
        <w:t xml:space="preserve">, </w:t>
      </w:r>
      <w:r>
        <w:rPr>
          <w:rFonts w:ascii="Times New Roman" w:hAnsi="Times New Roman" w:eastAsia="Times New Roman"/>
          <w:b w:val="0"/>
          <w:i/>
          <w:sz w:val="26"/>
        </w:rPr>
        <w:t>Luật Bảo vệ quyền lợi người tiêu dùng số 19/2023/QH15</w:t>
      </w:r>
      <w:r>
        <w:rPr>
          <w:rFonts w:ascii="Times New Roman" w:hAnsi="Times New Roman" w:eastAsia="Times New Roman"/>
          <w:b w:val="0"/>
          <w:i w:val="0"/>
          <w:sz w:val="26"/>
        </w:rPr>
        <w:t xml:space="preserve"> ngày 20/6/2023 (có hiệu lực từ ngày 01/7/2024).</w:t>
      </w:r>
    </w:p>
    <w:p>
      <w:pPr>
        <w:pStyle w:val="Heading2"/>
        <w:ind w:firstLine="0"/>
        <w:jc w:val="center"/>
      </w:pPr>
      <w:r>
        <w:rPr>
          <w:rFonts w:ascii="Times New Roman" w:hAnsi="Times New Roman" w:eastAsia="Times New Roman"/>
          <w:b w:val="0"/>
          <w:i w:val="0"/>
          <w:sz w:val="30"/>
        </w:rPr>
        <w:t>B. Giáo trình học thuật</w:t>
      </w:r>
    </w:p>
    <w:p>
      <w:pPr>
        <w:pStyle w:val="ListNumber"/>
        <w:ind w:firstLine="0"/>
        <w:jc w:val="both"/>
      </w:pPr>
      <w:r>
        <w:rPr>
          <w:rFonts w:ascii="Times New Roman" w:hAnsi="Times New Roman" w:eastAsia="Times New Roman"/>
          <w:b/>
          <w:i w:val="0"/>
          <w:sz w:val="26"/>
        </w:rPr>
        <w:t>Đại học Quốc gia TP.HCM</w:t>
      </w:r>
      <w:r>
        <w:rPr>
          <w:rFonts w:ascii="Times New Roman" w:hAnsi="Times New Roman" w:eastAsia="Times New Roman"/>
          <w:b w:val="0"/>
          <w:i w:val="0"/>
          <w:sz w:val="26"/>
        </w:rPr>
        <w:t xml:space="preserve">, </w:t>
      </w:r>
      <w:r>
        <w:rPr>
          <w:rFonts w:ascii="Times New Roman" w:hAnsi="Times New Roman" w:eastAsia="Times New Roman"/>
          <w:b w:val="0"/>
          <w:i/>
          <w:sz w:val="26"/>
        </w:rPr>
        <w:t>Tài liệu giảng dạy môn Pháp luật đại cương</w:t>
      </w:r>
      <w:r>
        <w:rPr>
          <w:rFonts w:ascii="Times New Roman" w:hAnsi="Times New Roman" w:eastAsia="Times New Roman"/>
          <w:b w:val="0"/>
          <w:i w:val="0"/>
          <w:sz w:val="26"/>
        </w:rPr>
        <w:t>, Trường Đại học Công nghệ Thông tin (UIT).</w:t>
      </w:r>
    </w:p>
    <w:p>
      <w:pPr>
        <w:pStyle w:val="ListNumber"/>
        <w:ind w:firstLine="0"/>
        <w:jc w:val="both"/>
      </w:pPr>
      <w:r>
        <w:rPr>
          <w:rFonts w:ascii="Times New Roman" w:hAnsi="Times New Roman" w:eastAsia="Times New Roman"/>
          <w:b/>
          <w:i w:val="0"/>
          <w:sz w:val="26"/>
        </w:rPr>
        <w:t>Trường Đại học Luật Hà Nội (2021)</w:t>
      </w:r>
      <w:r>
        <w:rPr>
          <w:rFonts w:ascii="Times New Roman" w:hAnsi="Times New Roman" w:eastAsia="Times New Roman"/>
          <w:b w:val="0"/>
          <w:i w:val="0"/>
          <w:sz w:val="26"/>
        </w:rPr>
        <w:t xml:space="preserve">, </w:t>
      </w:r>
      <w:r>
        <w:rPr>
          <w:rFonts w:ascii="Times New Roman" w:hAnsi="Times New Roman" w:eastAsia="Times New Roman"/>
          <w:b w:val="0"/>
          <w:i/>
          <w:sz w:val="26"/>
        </w:rPr>
        <w:t>Giáo trình Lý luận chung về Nhà nước và Pháp luật</w:t>
      </w:r>
      <w:r>
        <w:rPr>
          <w:rFonts w:ascii="Times New Roman" w:hAnsi="Times New Roman" w:eastAsia="Times New Roman"/>
          <w:b w:val="0"/>
          <w:i w:val="0"/>
          <w:sz w:val="26"/>
        </w:rPr>
        <w:t>, NXB Tư pháp, Hà Nội.</w:t>
      </w:r>
    </w:p>
    <w:p>
      <w:pPr>
        <w:pStyle w:val="ListNumber"/>
        <w:ind w:firstLine="0"/>
        <w:jc w:val="both"/>
      </w:pPr>
      <w:r>
        <w:rPr>
          <w:rFonts w:ascii="Times New Roman" w:hAnsi="Times New Roman" w:eastAsia="Times New Roman"/>
          <w:b/>
          <w:i w:val="0"/>
          <w:sz w:val="26"/>
        </w:rPr>
        <w:t>Trường Đại học Luật TP.HCM (2022)</w:t>
      </w:r>
      <w:r>
        <w:rPr>
          <w:rFonts w:ascii="Times New Roman" w:hAnsi="Times New Roman" w:eastAsia="Times New Roman"/>
          <w:b w:val="0"/>
          <w:i w:val="0"/>
          <w:sz w:val="26"/>
        </w:rPr>
        <w:t xml:space="preserve">, </w:t>
      </w:r>
      <w:r>
        <w:rPr>
          <w:rFonts w:ascii="Times New Roman" w:hAnsi="Times New Roman" w:eastAsia="Times New Roman"/>
          <w:b w:val="0"/>
          <w:i/>
          <w:sz w:val="26"/>
        </w:rPr>
        <w:t>Giáo trình Pháp luật đại cương (Dành cho sinh viên các trường đại học không chuyên luật)</w:t>
      </w:r>
      <w:r>
        <w:rPr>
          <w:rFonts w:ascii="Times New Roman" w:hAnsi="Times New Roman" w:eastAsia="Times New Roman"/>
          <w:b w:val="0"/>
          <w:i w:val="0"/>
          <w:sz w:val="26"/>
        </w:rPr>
        <w:t>, NXB Hồng Đức.</w:t>
      </w:r>
    </w:p>
    <w:p>
      <w:pPr>
        <w:pStyle w:val="Heading2"/>
        <w:ind w:firstLine="0"/>
        <w:jc w:val="center"/>
      </w:pPr>
      <w:r>
        <w:rPr>
          <w:rFonts w:ascii="Times New Roman" w:hAnsi="Times New Roman" w:eastAsia="Times New Roman"/>
          <w:b w:val="0"/>
          <w:i w:val="0"/>
          <w:sz w:val="30"/>
        </w:rPr>
        <w:t>C. Nguồn dữ liệu báo chí chính thức về vụ việc</w:t>
      </w:r>
    </w:p>
    <w:p>
      <w:pPr>
        <w:pStyle w:val="ListNumber"/>
        <w:ind w:firstLine="0"/>
        <w:jc w:val="both"/>
      </w:pPr>
      <w:r>
        <w:rPr>
          <w:rFonts w:ascii="Times New Roman" w:hAnsi="Times New Roman" w:eastAsia="Times New Roman"/>
          <w:b/>
          <w:i w:val="0"/>
          <w:sz w:val="26"/>
        </w:rPr>
        <w:t>Báo Điện tử Chính phủ (2026)</w:t>
      </w:r>
      <w:r>
        <w:rPr>
          <w:rFonts w:ascii="Times New Roman" w:hAnsi="Times New Roman" w:eastAsia="Times New Roman"/>
          <w:b w:val="0"/>
          <w:i w:val="0"/>
          <w:sz w:val="26"/>
        </w:rPr>
        <w:t xml:space="preserve">, </w:t>
      </w:r>
      <w:r>
        <w:rPr>
          <w:rFonts w:ascii="Times New Roman" w:hAnsi="Times New Roman" w:eastAsia="Times New Roman"/>
          <w:b w:val="0"/>
          <w:i/>
          <w:sz w:val="26"/>
        </w:rPr>
        <w:t>“Khởi tố 21 bị can trong đường dây quảng cáo gian dối sản phẩm Đông y trên mạng xã hội”</w:t>
      </w:r>
      <w:r>
        <w:rPr>
          <w:rFonts w:ascii="Times New Roman" w:hAnsi="Times New Roman" w:eastAsia="Times New Roman"/>
          <w:b w:val="0"/>
          <w:i w:val="0"/>
          <w:sz w:val="26"/>
        </w:rPr>
        <w:t>, đăng 14:47 ngày 10/8/2026, https://baochinhphu.vn/khoi-to-21-bi-can-trong-duong-day-quang-cao-gian-doi-san-pham-dong-y-tren-mang-xa-hoi-102260810142107459.htm (truy cập ngày 15/8/2026).</w:t>
      </w:r>
    </w:p>
    <w:sectPr w:rsidR="00FC693F" w:rsidRPr="0006063C" w:rsidSect="00034616">
      <w:footerReference w:type="default" r:id="rId9"/>
      <w:pgSz w:w="11906" w:h="16838"/>
      <w:pgMar w:top="1247" w:right="1134"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09"/>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