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CODE_OF_CONDUCT MANAGEMENT POLICY</w:t>
      </w:r>
    </w:p>
    <w:p>
      <w:r>
        <w:t>Document Control ID: POL-725-40</w:t>
        <w:br/>
        <w:t>Authorized Owner: Risk Management</w:t>
        <w:br/>
        <w:t>Data Classification: CONFIDENTIAL / INTERNAL</w:t>
        <w:br/>
        <w:t>Effective Date: 24/04/2026</w:t>
        <w:br/>
        <w:t>Revision Status: V2.5 (Fully Dynamic)</w:t>
      </w:r>
    </w:p>
    <w:p>
      <w:r>
        <w:br w:type="page"/>
      </w:r>
    </w:p>
    <w:p>
      <w:pPr>
        <w:pStyle w:val="Heading1"/>
      </w:pPr>
      <w:r>
        <w:t>1. Framework for Code of Conduct Management</w:t>
      </w:r>
    </w:p>
    <w:p>
      <w:r>
        <w:t>This document provides the mandatory framework for managing Code_of_Conduct within the corporate structure of Chilli Corp.</w:t>
      </w:r>
    </w:p>
    <w:p>
      <w:r>
        <w:t>All personnel must adhere to these Code_of_Conduct standards to ensure operational integrity.</w:t>
      </w:r>
    </w:p>
    <w:p>
      <w:pPr>
        <w:pStyle w:val="Heading1"/>
      </w:pPr>
      <w:r>
        <w:t>2. Specific Execution Steps</w:t>
      </w:r>
    </w:p>
    <w:p>
      <w:r>
        <w:t>Step 1: Validate the Code_of_Conduct log entry via the enterprise portal.</w:t>
      </w:r>
    </w:p>
    <w:p>
      <w:r>
        <w:t>Step 2: The Supervisor must perform a initial check on Code_of_Conduct requirements.</w:t>
      </w:r>
    </w:p>
    <w:p>
      <w:r>
        <w:t>Step 3: Internal validation for Code_of_Conduct should be completed using the standard physical workflow.</w:t>
      </w:r>
    </w:p>
    <w:p>
      <w:r>
        <w:t>Step 4: Final decision on the Code_of_Conduct instance will be recorded in the database within 7 business days.</w:t>
      </w:r>
    </w:p>
    <w:p>
      <w:r>
        <w:t>Step 5: Maintenance of this Code_of_Conduct record is required every 7 months.</w:t>
      </w:r>
    </w:p>
    <w:p>
      <w:pPr>
        <w:pStyle w:val="Heading1"/>
      </w:pPr>
      <w:r>
        <w:t>3. Risk Identification Matrix for Code_of_Conduct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 Category</w:t>
            </w:r>
          </w:p>
        </w:tc>
        <w:tc>
          <w:tcPr>
            <w:tcW w:type="dxa" w:w="2160"/>
          </w:tcPr>
          <w:p>
            <w:r>
              <w:t>Specific Scenario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Mandatory Control</w:t>
            </w:r>
          </w:p>
        </w:tc>
      </w:tr>
      <w:tr>
        <w:tc>
          <w:tcPr>
            <w:tcW w:type="dxa" w:w="2160"/>
          </w:tcPr>
          <w:p>
            <w:r>
              <w:t>Financial</w:t>
            </w:r>
          </w:p>
        </w:tc>
        <w:tc>
          <w:tcPr>
            <w:tcW w:type="dxa" w:w="2160"/>
          </w:tcPr>
          <w:p>
            <w:r>
              <w:t>Strategic bottleneck in the Code_of_Conduct lifecycle.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End-to-end encryption of Code_of_Conduct logs</w:t>
            </w:r>
          </w:p>
        </w:tc>
      </w:tr>
      <w:tr>
        <w:tc>
          <w:tcPr>
            <w:tcW w:type="dxa" w:w="2160"/>
          </w:tcPr>
          <w:p>
            <w:r>
              <w:t>Technical</w:t>
            </w:r>
          </w:p>
        </w:tc>
        <w:tc>
          <w:tcPr>
            <w:tcW w:type="dxa" w:w="2160"/>
          </w:tcPr>
          <w:p>
            <w:r>
              <w:t>Non-compliance with Code_of_Conduct internal standards.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Biannual Code_of_Conduct workshops</w:t>
            </w:r>
          </w:p>
        </w:tc>
      </w:tr>
      <w:tr>
        <w:tc>
          <w:tcPr>
            <w:tcW w:type="dxa" w:w="2160"/>
          </w:tcPr>
          <w:p>
            <w:r>
              <w:t>Financial</w:t>
            </w:r>
          </w:p>
        </w:tc>
        <w:tc>
          <w:tcPr>
            <w:tcW w:type="dxa" w:w="2160"/>
          </w:tcPr>
          <w:p>
            <w:r>
              <w:t>Discrepancy in the reporting of Code_of_Conduct benchmarks.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Biannual Code_of_Conduct workshops</w:t>
            </w:r>
          </w:p>
        </w:tc>
      </w:tr>
    </w:tbl>
    <w:p>
      <w:pPr>
        <w:pStyle w:val="Heading1"/>
      </w:pPr>
      <w:r>
        <w:t>4. Stakeholders &amp; Responsibilities</w:t>
      </w:r>
    </w:p>
    <w:p>
      <w:r>
        <w:t>- Marketing Team: Primary responsibility for enforcing Code_of_Conduct protocols.</w:t>
      </w:r>
    </w:p>
    <w:p>
      <w:r>
        <w:t>- HR Team: Primary responsibility for enforcing Code_of_Conduct protocols.</w:t>
      </w:r>
    </w:p>
    <w:p>
      <w:r>
        <w:t>- IT Team: Primary responsibility for enforcing Code_of_Conduct protocols.</w:t>
      </w:r>
    </w:p>
    <w:p>
      <w:r>
        <w:t>- Operations Team: Primary responsibility for enforcing Code_of_Conduct protocols.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CHILLI CORP | CODE_OF_CONDUCT MANAGEMENT POLICY | REF-568552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