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TERMINATION MANAGEMENT POLICY</w:t>
      </w:r>
    </w:p>
    <w:p>
      <w:r>
        <w:t>Document Control ID: POL-329-10</w:t>
        <w:br/>
        <w:t>Authorized Owner: Legal Dept</w:t>
        <w:br/>
        <w:t>Data Classification: CONFIDENTIAL / INTERNAL</w:t>
        <w:br/>
        <w:t>Effective Date: 18/04/2026</w:t>
        <w:br/>
        <w:t>Revision Status: V2.5 (Fully Dynamic)</w:t>
      </w:r>
    </w:p>
    <w:p>
      <w:r>
        <w:br w:type="page"/>
      </w:r>
    </w:p>
    <w:p>
      <w:pPr>
        <w:pStyle w:val="Heading1"/>
      </w:pPr>
      <w:r>
        <w:t>1. Framework for Termination Management</w:t>
      </w:r>
    </w:p>
    <w:p>
      <w:r>
        <w:t>This document provides the mandatory framework for managing Termination within the corporate structure of Chilli Corp.</w:t>
      </w:r>
    </w:p>
    <w:p>
      <w:r>
        <w:t>All personnel must adhere to these Termination standards to ensure operational integrity.</w:t>
      </w:r>
    </w:p>
    <w:p>
      <w:pPr>
        <w:pStyle w:val="Heading1"/>
      </w:pPr>
      <w:r>
        <w:t>2. Specific Execution Steps</w:t>
      </w:r>
    </w:p>
    <w:p>
      <w:r>
        <w:t>Step 1: Log the Termination system update via the enterprise portal.</w:t>
      </w:r>
    </w:p>
    <w:p>
      <w:r>
        <w:t>Step 2: The Lead must perform a initial check on Termination requirements.</w:t>
      </w:r>
    </w:p>
    <w:p>
      <w:r>
        <w:t>Step 3: Internal validation for Termination should be completed using the standard digital workflow.</w:t>
      </w:r>
    </w:p>
    <w:p>
      <w:r>
        <w:t>Step 4: Final decision on the Termination instance will be recorded in the database within 2 business days.</w:t>
      </w:r>
    </w:p>
    <w:p>
      <w:r>
        <w:t>Step 5: Maintenance of this Termination record is required every 12 months.</w:t>
      </w:r>
    </w:p>
    <w:p>
      <w:pPr>
        <w:pStyle w:val="Heading1"/>
      </w:pPr>
      <w:r>
        <w:t>3. Risk Identification Matrix for Termination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Category</w:t>
            </w:r>
          </w:p>
        </w:tc>
        <w:tc>
          <w:tcPr>
            <w:tcW w:type="dxa" w:w="2160"/>
          </w:tcPr>
          <w:p>
            <w:r>
              <w:t>Specific Scenario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Mandatory Control</w:t>
            </w:r>
          </w:p>
        </w:tc>
      </w:tr>
      <w:tr>
        <w:tc>
          <w:tcPr>
            <w:tcW w:type="dxa" w:w="2160"/>
          </w:tcPr>
          <w:p>
            <w:r>
              <w:t>Technical</w:t>
            </w:r>
          </w:p>
        </w:tc>
        <w:tc>
          <w:tcPr>
            <w:tcW w:type="dxa" w:w="2160"/>
          </w:tcPr>
          <w:p>
            <w:r>
              <w:t>Non-compliance with Termination internal standards.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Biannual Termination workshops</w:t>
            </w:r>
          </w:p>
        </w:tc>
      </w:tr>
      <w:tr>
        <w:tc>
          <w:tcPr>
            <w:tcW w:type="dxa" w:w="2160"/>
          </w:tcPr>
          <w:p>
            <w:r>
              <w:t>Technical</w:t>
            </w:r>
          </w:p>
        </w:tc>
        <w:tc>
          <w:tcPr>
            <w:tcW w:type="dxa" w:w="2160"/>
          </w:tcPr>
          <w:p>
            <w:r>
              <w:t>Strategic bottleneck in the Termination lifecycle.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End-to-end encryption of Termination logs</w:t>
            </w:r>
          </w:p>
        </w:tc>
      </w:tr>
      <w:tr>
        <w:tc>
          <w:tcPr>
            <w:tcW w:type="dxa" w:w="2160"/>
          </w:tcPr>
          <w:p>
            <w:r>
              <w:t>Reputational</w:t>
            </w:r>
          </w:p>
        </w:tc>
        <w:tc>
          <w:tcPr>
            <w:tcW w:type="dxa" w:w="2160"/>
          </w:tcPr>
          <w:p>
            <w:r>
              <w:t>Inconsistent modification of Termination master records.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Real-time Termination notifications</w:t>
            </w:r>
          </w:p>
        </w:tc>
      </w:tr>
    </w:tbl>
    <w:p>
      <w:pPr>
        <w:pStyle w:val="Heading1"/>
      </w:pPr>
      <w:r>
        <w:t>4. Stakeholders &amp; Responsibilities</w:t>
      </w:r>
    </w:p>
    <w:p>
      <w:r>
        <w:t>- Public Relations Team: Primary responsibility for enforcing Termination protocols.</w:t>
      </w:r>
    </w:p>
    <w:p>
      <w:r>
        <w:t>- Engineering Team: Primary responsibility for enforcing Termination protocols.</w:t>
      </w:r>
    </w:p>
    <w:p>
      <w:r>
        <w:t>- Legal Team: Primary responsibility for enforcing Termination protocols.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CHILLI CORP | TERMINATION MANAGEMENT POLICY | REF-615842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