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WORK_FROM_HOME MANAGEMENT POLICY</w:t>
      </w:r>
    </w:p>
    <w:p>
      <w:r>
        <w:t>Document Control ID: POL-829-40</w:t>
        <w:br/>
        <w:t>Authorized Owner: Legal Dept</w:t>
        <w:br/>
        <w:t>Data Classification: CONFIDENTIAL / INTERNAL</w:t>
        <w:br/>
        <w:t>Effective Date: 12/04/2026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Work From Home Management</w:t>
      </w:r>
    </w:p>
    <w:p>
      <w:r>
        <w:t>This document provides the mandatory framework for managing Work_From_Home within the corporate structure of Chilli Corp.</w:t>
      </w:r>
    </w:p>
    <w:p>
      <w:r>
        <w:t>All personnel must adhere to these Work_From_Home standards to ensure operational integrity.</w:t>
      </w:r>
    </w:p>
    <w:p>
      <w:pPr>
        <w:pStyle w:val="Heading1"/>
      </w:pPr>
      <w:r>
        <w:t>2. Specific Execution Steps</w:t>
      </w:r>
    </w:p>
    <w:p>
      <w:r>
        <w:t>Step 1: Audit the Work_From_Home documentation via the enterprise portal.</w:t>
      </w:r>
    </w:p>
    <w:p>
      <w:r>
        <w:t>Step 2: The Director must perform a initial check on Work_From_Home requirements.</w:t>
      </w:r>
    </w:p>
    <w:p>
      <w:r>
        <w:t>Step 3: Internal validation for Work_From_Home should be completed using the standard digital workflow.</w:t>
      </w:r>
    </w:p>
    <w:p>
      <w:r>
        <w:t>Step 4: Final decision on the Work_From_Home instance will be recorded in the database within 7 business days.</w:t>
      </w:r>
    </w:p>
    <w:p>
      <w:r>
        <w:t>Step 5: Maintenance of this Work_From_Home record is required every 2 months.</w:t>
      </w:r>
    </w:p>
    <w:p>
      <w:pPr>
        <w:pStyle w:val="Heading1"/>
      </w:pPr>
      <w:r>
        <w:t>3. Risk Identification Matrix for Work_From_Home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Exposure of data related to Work_From_Home operations.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Real-time Work_From_Home notifications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Non-compliance with Work_From_Home internal standards.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End-to-end encryption of Work_From_Home logs</w:t>
            </w:r>
          </w:p>
        </w:tc>
      </w:tr>
      <w:tr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Strategic bottleneck in the Work_From_Home lifecycle.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Biannual Work_From_Home workshops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Finance Team: Primary responsibility for enforcing Work_From_Home protocols.</w:t>
      </w:r>
    </w:p>
    <w:p>
      <w:r>
        <w:t>- Public Relations Team: Primary responsibility for enforcing Work_From_Home protocols.</w:t>
      </w:r>
    </w:p>
    <w:p>
      <w:r>
        <w:t>- Operations Team: Primary responsibility for enforcing Work_From_Home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WORK_FROM_HOME MANAGEMENT POLICY | REF-186209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