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MEETING MANAGEMENT POLICY</w:t>
      </w:r>
    </w:p>
    <w:p>
      <w:r>
        <w:t>Document Control ID: POL-120-51</w:t>
        <w:br/>
        <w:t>Authorized Owner: Risk Management</w:t>
        <w:br/>
        <w:t>Data Classification: CONFIDENTIAL / INTERNAL</w:t>
        <w:br/>
        <w:t>Effective Date: 21/04/2026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Meeting Management</w:t>
      </w:r>
    </w:p>
    <w:p>
      <w:r>
        <w:t>This document provides the mandatory framework for managing Meeting within the corporate structure of Chilli Corp.</w:t>
      </w:r>
    </w:p>
    <w:p>
      <w:r>
        <w:t>All personnel must adhere to these Meeting standards to ensure operational integrity.</w:t>
      </w:r>
    </w:p>
    <w:p>
      <w:pPr>
        <w:pStyle w:val="Heading1"/>
      </w:pPr>
      <w:r>
        <w:t>2. Specific Execution Steps</w:t>
      </w:r>
    </w:p>
    <w:p>
      <w:r>
        <w:t>Step 1: Monitor the Meeting log entry via the enterprise portal.</w:t>
      </w:r>
    </w:p>
    <w:p>
      <w:r>
        <w:t>Step 2: The Director must perform a initial check on Meeting requirements.</w:t>
      </w:r>
    </w:p>
    <w:p>
      <w:r>
        <w:t>Step 3: Internal validation for Meeting should be completed using the standard automated workflow.</w:t>
      </w:r>
    </w:p>
    <w:p>
      <w:r>
        <w:t>Step 4: Final decision on the Meeting instance will be recorded in the database within 4 business days.</w:t>
      </w:r>
    </w:p>
    <w:p>
      <w:r>
        <w:t>Step 5: Maintenance of this Meeting record is required every 4 months.</w:t>
      </w:r>
    </w:p>
    <w:p>
      <w:pPr>
        <w:pStyle w:val="Heading1"/>
      </w:pPr>
      <w:r>
        <w:t>3. Risk Identification Matrix for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Exposure of data related to Meeting operations.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End-to-end encryption of Meeting logs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Inconsistent modification of Meeting master records.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Strict Meeting governance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Strategic bottleneck in the Meeting lifecycle.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Real-time Meeting notifications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Executive Board Team: Primary responsibility for enforcing Meeting protocols.</w:t>
      </w:r>
    </w:p>
    <w:p>
      <w:r>
        <w:t>- Operations Team: Primary responsibility for enforcing Meeting protocols.</w:t>
      </w:r>
    </w:p>
    <w:p>
      <w:r>
        <w:t>- Public Relations Team: Primary responsibility for enforcing Meeting protocols.</w:t>
      </w:r>
    </w:p>
    <w:p>
      <w:r>
        <w:t>- IT Team: Primary responsibility for enforcing Meeting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MEETING MANAGEMENT POLICY | REF-449468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