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after="80"/>
      </w:pPr>
      <w:r>
        <w:rPr>
          <w:bCs/>
          <w:b/>
        </w:rPr>
        <w:t xml:space="preserve">TRƯỜNG THCS VÕ THỊ SÁU</w:t>
      </w:r>
      <w:r>
        <w:br/>
      </w:r>
      <w:r>
        <w:rPr>
          <w:bCs/>
          <w:b/>
        </w:rPr>
        <w:t xml:space="preserve">TỔ KHOA HỌC TỰ NHIÊN</w:t>
      </w:r>
    </w:p>
    <w:bookmarkStart w:id="28" w:name="Xf9a67280109f0ceb395d4ea4c373cf97b800703"/>
    <w:p>
      <w:pPr>
        <w:pStyle w:val="Heading1"/>
        <w:spacing w:after="80"/>
        <w:jc w:val="center"/>
      </w:pPr>
      <w:r>
        <w:rPr>
          <w:color w:val="151D33"/>
        </w:rPr>
        <w:t xml:space="preserve">BÀI HỌC STEM: NƯỚC RỬA TAY SINH HỌC TỪ THẢO MỘC</w:t>
      </w:r>
    </w:p>
    <w:p>
      <w:pPr>
        <w:pStyle w:val="FirstParagraph"/>
        <w:spacing w:after="80"/>
      </w:pPr>
      <w:r>
        <w:rPr>
          <w:iCs/>
          <w:i/>
        </w:rPr>
        <w:t xml:space="preserve">Kế hoạch bài dạy · Môn KHTN 9 · Năm học 2026 – 2027</w:t>
      </w:r>
    </w:p>
    <w:p>
      <w:pPr>
        <w:pStyle w:val="BodyText"/>
        <w:spacing w:after="80"/>
      </w:pPr>
      <w:r>
        <w:rPr>
          <w:bCs/>
          <w:b/>
        </w:rPr>
        <w:t xml:space="preserve">Môn:</w:t>
      </w:r>
      <w:r>
        <w:t xml:space="preserve"> </w:t>
      </w:r>
      <w:r>
        <w:t xml:space="preserve">KHTN 9 ·</w:t>
      </w:r>
      <w:r>
        <w:t xml:space="preserve"> </w:t>
      </w:r>
      <w:r>
        <w:rPr>
          <w:bCs/>
          <w:b/>
        </w:rPr>
        <w:t xml:space="preserve">Sản phẩm:</w:t>
      </w:r>
      <w:r>
        <w:t xml:space="preserve"> </w:t>
      </w:r>
      <w:r>
        <w:t xml:space="preserve">Dung dịch rửa tay từ quả bồ hòn và tinh dầu sả ·</w:t>
      </w:r>
      <w:r>
        <w:t xml:space="preserve"> </w:t>
      </w:r>
      <w:r>
        <w:rPr>
          <w:bCs/>
          <w:b/>
        </w:rPr>
        <w:t xml:space="preserve">Thời lượng:</w:t>
      </w:r>
      <w:r>
        <w:t xml:space="preserve"> </w:t>
      </w:r>
      <w:r>
        <w:t xml:space="preserve">2 tiết chính khóa + 1 buổi chế tạo ·</w:t>
      </w:r>
      <w:r>
        <w:t xml:space="preserve"> </w:t>
      </w:r>
      <w:r>
        <w:rPr>
          <w:bCs/>
          <w:b/>
        </w:rPr>
        <w:t xml:space="preserve">Kiểu bài:</w:t>
      </w:r>
      <w:r>
        <w:t xml:space="preserve"> </w:t>
      </w:r>
      <w:r>
        <w:t xml:space="preserve">thiết kế kĩ thuật (CV 3089)</w:t>
      </w:r>
    </w:p>
    <w:bookmarkStart w:id="20" w:name="i.-mục-tiêu"/>
    <w:p>
      <w:pPr>
        <w:pStyle w:val="Heading3"/>
        <w:spacing w:after="80"/>
      </w:pPr>
      <w:r>
        <w:rPr>
          <w:b/>
          <w:i w:val="0"/>
          <w:color w:val="151D33"/>
          <w:sz w:val="26"/>
        </w:rPr>
        <w:t xml:space="preserve">I. Mục tiêu</w:t>
      </w:r>
    </w:p>
    <w:p>
      <w:pPr>
        <w:pStyle w:val="FirstParagraph"/>
        <w:spacing w:after="80"/>
      </w:pPr>
      <w:r>
        <w:rPr>
          <w:bCs/>
          <w:b/>
        </w:rPr>
        <w:t xml:space="preserve">1. Kiến thức</w:t>
      </w:r>
      <w:r>
        <w:t xml:space="preserve"> </w:t>
      </w:r>
      <w:r>
        <w:rPr>
          <w:iCs/>
          <w:i/>
        </w:rPr>
        <w:t xml:space="preserve">(đã đối chiếu SGK Kết nối tri thức, có số trang)</w:t>
      </w:r>
    </w:p>
    <w:p>
      <w:pPr>
        <w:numPr>
          <w:ilvl w:val="0"/>
          <w:numId w:val="1001"/>
        </w:numPr>
        <w:pStyle w:val="Compact"/>
        <w:spacing w:after="80"/>
      </w:pPr>
      <w:r>
        <w:t xml:space="preserve">Lipid, chất béo; phản ứng xà phòng hoá, làm xà phòng thủ công (SGK KHTN 9, Bài 28, tr.128)</w:t>
      </w:r>
    </w:p>
    <w:p>
      <w:pPr>
        <w:numPr>
          <w:ilvl w:val="0"/>
          <w:numId w:val="1001"/>
        </w:numPr>
        <w:pStyle w:val="Compact"/>
        <w:spacing w:after="80"/>
      </w:pPr>
      <w:r>
        <w:t xml:space="preserve">Ethylic alcohol: độ cồn, tính diệt khuẩn của cồn 60–85% (Bài 26, tr.118)</w:t>
      </w:r>
    </w:p>
    <w:p>
      <w:pPr>
        <w:numPr>
          <w:ilvl w:val="0"/>
          <w:numId w:val="1001"/>
        </w:numPr>
        <w:pStyle w:val="Compact"/>
        <w:spacing w:after="80"/>
      </w:pPr>
      <w:r>
        <w:t xml:space="preserve">Thang pH (đã học ở KHTN 8, Bài 9, tr.39); an toàn khi sử dụng hoá chất</w:t>
      </w:r>
    </w:p>
    <w:p>
      <w:pPr>
        <w:pStyle w:val="FirstParagraph"/>
        <w:spacing w:after="80"/>
      </w:pPr>
      <w:r>
        <w:rPr>
          <w:bCs/>
          <w:b/>
        </w:rPr>
        <w:t xml:space="preserve">2. Năng lực</w:t>
      </w:r>
    </w:p>
    <w:p>
      <w:pPr>
        <w:numPr>
          <w:ilvl w:val="0"/>
          <w:numId w:val="1002"/>
        </w:numPr>
        <w:pStyle w:val="Compact"/>
        <w:spacing w:after="80"/>
      </w:pPr>
      <w:r>
        <w:t xml:space="preserve">Năng lực chung: tự chủ và tự học; giao tiếp và hợp tác; giải quyết vấn đề và sáng tạo.</w:t>
      </w:r>
    </w:p>
    <w:p>
      <w:pPr>
        <w:numPr>
          <w:ilvl w:val="0"/>
          <w:numId w:val="1002"/>
        </w:numPr>
        <w:pStyle w:val="Compact"/>
        <w:spacing w:after="80"/>
      </w:pPr>
      <w:r>
        <w:t xml:space="preserve">Năng lực khoa học tự nhiên: nhận thức khoa học tự nhiên; tìm hiểu tự nhiên; vận dụng kiến thức, kĩ năng đã học.</w:t>
      </w:r>
    </w:p>
    <w:p>
      <w:pPr>
        <w:pStyle w:val="FirstParagraph"/>
        <w:spacing w:after="80"/>
      </w:pPr>
      <w:r>
        <w:rPr>
          <w:bCs/>
          <w:b/>
        </w:rPr>
        <w:t xml:space="preserve">3. Phẩm chất:</w:t>
      </w:r>
      <w:r>
        <w:t xml:space="preserve"> </w:t>
      </w:r>
      <w:r>
        <w:t xml:space="preserve">chăm chỉ; trung thực khi ghi kết quả thử nghiệm; trách nhiệm với phần việc trong nhóm và với môi trường.</w:t>
      </w:r>
    </w:p>
    <w:bookmarkEnd w:id="20"/>
    <w:bookmarkStart w:id="21" w:name="ii.-vấn-đề-và-tiêu-chí-sản-phẩm"/>
    <w:p>
      <w:pPr>
        <w:pStyle w:val="Heading3"/>
        <w:spacing w:after="80"/>
      </w:pPr>
      <w:r>
        <w:rPr>
          <w:b/>
          <w:i w:val="0"/>
          <w:color w:val="151D33"/>
          <w:sz w:val="26"/>
        </w:rPr>
        <w:t xml:space="preserve">II. Vấn đề và tiêu chí sản phẩm</w:t>
      </w:r>
    </w:p>
    <w:p>
      <w:pPr>
        <w:pStyle w:val="FirstParagraph"/>
        <w:spacing w:after="80"/>
      </w:pPr>
      <w:r>
        <w:t xml:space="preserve">Làm nước rửa tay từ nguyên liệu tự nhiên dễ kiếm (quả bồ hòn chứa saponin tạo bọt, sả có mùi thơm), thay một phần sản phẩm hóa chất.</w:t>
      </w:r>
    </w:p>
    <w:tbl>
      <w:tblPr>
        <w:tblStyle w:val="Table"/>
        <w:tblW w:type="dxa" w:w="95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700"/>
        <w:gridCol w:w="5900"/>
        <w:gridCol w:w="2900"/>
      </w:tblGrid>
      <w:tr>
        <w:trPr>
          <w:tblHeader w:val="true"/>
        </w:trPr>
        <w:tc>
          <w:tcPr>
            <w:tcW w:type="dxa" w:w="700"/>
          </w:tcPr>
          <w:p>
            <w:pPr>
              <w:pStyle w:val="Compact"/>
              <w:jc w:val="left"/>
            </w:pPr>
            <w:r>
              <w:rPr>
                <w:b/>
                <w:sz w:val="24"/>
              </w:rPr>
              <w:t xml:space="preserve">TT</w:t>
            </w:r>
          </w:p>
        </w:tc>
        <w:tc>
          <w:tcPr>
            <w:tcW w:type="dxa" w:w="5900"/>
          </w:tcPr>
          <w:p>
            <w:pPr>
              <w:pStyle w:val="Compact"/>
              <w:jc w:val="left"/>
            </w:pPr>
            <w:r>
              <w:rPr>
                <w:b/>
                <w:sz w:val="24"/>
              </w:rPr>
              <w:t xml:space="preserve">Tiêu chí</w:t>
            </w:r>
          </w:p>
        </w:tc>
        <w:tc>
          <w:tcPr>
            <w:tcW w:type="dxa" w:w="2900"/>
          </w:tcPr>
          <w:p>
            <w:pPr>
              <w:pStyle w:val="Compact"/>
              <w:jc w:val="left"/>
            </w:pPr>
            <w:r>
              <w:rPr>
                <w:b/>
                <w:sz w:val="24"/>
              </w:rPr>
              <w:t xml:space="preserve">Cách kiểm tra</w:t>
            </w:r>
          </w:p>
        </w:tc>
      </w:tr>
      <w:tr>
        <w:tc>
          <w:tcPr>
            <w:tcW w:type="dxa" w:w="700"/>
          </w:tcPr>
          <w:p>
            <w:pPr>
              <w:pStyle w:val="Compact"/>
              <w:jc w:val="left"/>
            </w:pPr>
            <w:r>
              <w:rPr>
                <w:sz w:val="24"/>
              </w:rPr>
              <w:t xml:space="preserve">1</w:t>
            </w:r>
          </w:p>
        </w:tc>
        <w:tc>
          <w:tcPr>
            <w:tcW w:type="dxa" w:w="5900"/>
          </w:tcPr>
          <w:p>
            <w:pPr>
              <w:pStyle w:val="Compact"/>
              <w:jc w:val="left"/>
            </w:pPr>
            <w:r>
              <w:rPr>
                <w:sz w:val="24"/>
              </w:rPr>
              <w:t xml:space="preserve">Tạo bọt: cột bọt ≥ 2 cm sau khi lắc ống nghiệm 10 lần</w:t>
            </w:r>
          </w:p>
        </w:tc>
        <w:tc>
          <w:tcPr>
            <w:tcW w:type="dxa" w:w="2900"/>
          </w:tcPr>
          <w:p>
            <w:pPr>
              <w:pStyle w:val="Compact"/>
              <w:jc w:val="left"/>
            </w:pPr>
            <w:r>
              <w:rPr>
                <w:sz w:val="24"/>
              </w:rPr>
              <w:t xml:space="preserve">Thử</w:t>
            </w:r>
          </w:p>
        </w:tc>
      </w:tr>
      <w:tr>
        <w:tc>
          <w:tcPr>
            <w:tcW w:type="dxa" w:w="700"/>
          </w:tcPr>
          <w:p>
            <w:pPr>
              <w:pStyle w:val="Compact"/>
              <w:jc w:val="left"/>
            </w:pPr>
            <w:r>
              <w:rPr>
                <w:sz w:val="24"/>
              </w:rPr>
              <w:t xml:space="preserve">2</w:t>
            </w:r>
          </w:p>
        </w:tc>
        <w:tc>
          <w:tcPr>
            <w:tcW w:type="dxa" w:w="5900"/>
          </w:tcPr>
          <w:p>
            <w:pPr>
              <w:pStyle w:val="Compact"/>
              <w:jc w:val="left"/>
            </w:pPr>
            <w:r>
              <w:rPr>
                <w:sz w:val="24"/>
              </w:rPr>
              <w:t xml:space="preserve">pH trong khoảng 5–7</w:t>
            </w:r>
          </w:p>
        </w:tc>
        <w:tc>
          <w:tcPr>
            <w:tcW w:type="dxa" w:w="2900"/>
          </w:tcPr>
          <w:p>
            <w:pPr>
              <w:pStyle w:val="Compact"/>
              <w:jc w:val="left"/>
            </w:pPr>
            <w:r>
              <w:rPr>
                <w:sz w:val="24"/>
              </w:rPr>
              <w:t xml:space="preserve">Giấy pH</w:t>
            </w:r>
          </w:p>
        </w:tc>
      </w:tr>
      <w:tr>
        <w:tc>
          <w:tcPr>
            <w:tcW w:type="dxa" w:w="700"/>
          </w:tcPr>
          <w:p>
            <w:pPr>
              <w:pStyle w:val="Compact"/>
              <w:jc w:val="left"/>
            </w:pPr>
            <w:r>
              <w:rPr>
                <w:sz w:val="24"/>
              </w:rPr>
              <w:t xml:space="preserve">3</w:t>
            </w:r>
          </w:p>
        </w:tc>
        <w:tc>
          <w:tcPr>
            <w:tcW w:type="dxa" w:w="5900"/>
          </w:tcPr>
          <w:p>
            <w:pPr>
              <w:pStyle w:val="Compact"/>
              <w:jc w:val="left"/>
            </w:pPr>
            <w:r>
              <w:rPr>
                <w:sz w:val="24"/>
              </w:rPr>
              <w:t xml:space="preserve">Không gây kích ứng khi thử trên mặt trong cổ tay sau 10 phút</w:t>
            </w:r>
          </w:p>
        </w:tc>
        <w:tc>
          <w:tcPr>
            <w:tcW w:type="dxa" w:w="2900"/>
          </w:tcPr>
          <w:p>
            <w:pPr>
              <w:pStyle w:val="Compact"/>
              <w:jc w:val="left"/>
            </w:pPr>
            <w:r>
              <w:rPr>
                <w:sz w:val="24"/>
              </w:rPr>
              <w:t xml:space="preserve">Thử có GV</w:t>
            </w:r>
          </w:p>
        </w:tc>
      </w:tr>
      <w:tr>
        <w:tc>
          <w:tcPr>
            <w:tcW w:type="dxa" w:w="700"/>
          </w:tcPr>
          <w:p>
            <w:pPr>
              <w:pStyle w:val="Compact"/>
              <w:jc w:val="left"/>
            </w:pPr>
            <w:r>
              <w:rPr>
                <w:sz w:val="24"/>
              </w:rPr>
              <w:t xml:space="preserve">4</w:t>
            </w:r>
          </w:p>
        </w:tc>
        <w:tc>
          <w:tcPr>
            <w:tcW w:type="dxa" w:w="5900"/>
          </w:tcPr>
          <w:p>
            <w:pPr>
              <w:pStyle w:val="Compact"/>
              <w:jc w:val="left"/>
            </w:pPr>
            <w:r>
              <w:rPr>
                <w:sz w:val="24"/>
              </w:rPr>
              <w:t xml:space="preserve">Có nhãn ghi thành phần, ngày pha, hạn dùng</w:t>
            </w:r>
          </w:p>
        </w:tc>
        <w:tc>
          <w:tcPr>
            <w:tcW w:type="dxa" w:w="2900"/>
          </w:tcPr>
          <w:p>
            <w:pPr>
              <w:pStyle w:val="Compact"/>
              <w:jc w:val="left"/>
            </w:pPr>
            <w:r>
              <w:rPr>
                <w:sz w:val="24"/>
              </w:rPr>
              <w:t xml:space="preserve">Quan sát</w:t>
            </w:r>
          </w:p>
        </w:tc>
      </w:tr>
    </w:tbl>
    <w:bookmarkEnd w:id="21"/>
    <w:bookmarkStart w:id="22" w:name="iii.-thiết-bị-vật-liệu-mỗi-nhóm"/>
    <w:p>
      <w:pPr>
        <w:pStyle w:val="Heading3"/>
        <w:spacing w:after="80"/>
      </w:pPr>
      <w:r>
        <w:rPr>
          <w:b/>
          <w:i w:val="0"/>
          <w:color w:val="151D33"/>
          <w:sz w:val="26"/>
        </w:rPr>
        <w:t xml:space="preserve">III. Thiết bị, vật liệu (mỗi nhóm)</w:t>
      </w:r>
    </w:p>
    <w:p>
      <w:pPr>
        <w:numPr>
          <w:ilvl w:val="0"/>
          <w:numId w:val="1003"/>
        </w:numPr>
        <w:pStyle w:val="Compact"/>
        <w:spacing w:after="80"/>
      </w:pPr>
      <w:r>
        <w:t xml:space="preserve">Quả bồ hòn khô, sả tươi, nước sạch</w:t>
      </w:r>
    </w:p>
    <w:p>
      <w:pPr>
        <w:numPr>
          <w:ilvl w:val="0"/>
          <w:numId w:val="1003"/>
        </w:numPr>
        <w:pStyle w:val="Compact"/>
        <w:spacing w:after="80"/>
      </w:pPr>
      <w:r>
        <w:t xml:space="preserve">Nồi đun (tại phòng thực hành, GV phụ trách), rây lọc, chai nhỏ</w:t>
      </w:r>
    </w:p>
    <w:p>
      <w:pPr>
        <w:numPr>
          <w:ilvl w:val="0"/>
          <w:numId w:val="1003"/>
        </w:numPr>
        <w:pStyle w:val="Compact"/>
        <w:spacing w:after="80"/>
      </w:pPr>
      <w:r>
        <w:t xml:space="preserve">Giấy pH, ống nghiệm</w:t>
      </w:r>
    </w:p>
    <w:bookmarkEnd w:id="22"/>
    <w:bookmarkStart w:id="23" w:name="iv.-tiến-trình-dạy-học-5-hoạt-động-stem"/>
    <w:p>
      <w:pPr>
        <w:pStyle w:val="Heading3"/>
        <w:spacing w:after="80"/>
      </w:pPr>
      <w:r>
        <w:rPr>
          <w:b/>
          <w:i w:val="0"/>
          <w:color w:val="151D33"/>
          <w:sz w:val="26"/>
        </w:rPr>
        <w:t xml:space="preserve">IV. Tiến trình dạy học (5 hoạt động STEM)</w:t>
      </w:r>
    </w:p>
    <w:tbl>
      <w:tblPr>
        <w:tblStyle w:val="Table"/>
        <w:tblW w:type="dxa" w:w="95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900"/>
        <w:gridCol w:w="6200"/>
        <w:gridCol w:w="1400"/>
      </w:tblGrid>
      <w:tr>
        <w:trPr>
          <w:tblHeader w:val="true"/>
        </w:trPr>
        <w:tc>
          <w:tcPr>
            <w:tcW w:type="dxa" w:w="1900"/>
          </w:tcPr>
          <w:p>
            <w:pPr>
              <w:pStyle w:val="Compact"/>
              <w:jc w:val="left"/>
            </w:pPr>
            <w:r>
              <w:rPr>
                <w:b/>
                <w:sz w:val="24"/>
              </w:rPr>
              <w:t xml:space="preserve">Thời điểm</w:t>
            </w:r>
          </w:p>
        </w:tc>
        <w:tc>
          <w:tcPr>
            <w:tcW w:type="dxa" w:w="6200"/>
          </w:tcPr>
          <w:p>
            <w:pPr>
              <w:pStyle w:val="Compact"/>
              <w:jc w:val="left"/>
            </w:pPr>
            <w:r>
              <w:rPr>
                <w:b/>
                <w:sz w:val="24"/>
              </w:rPr>
              <w:t xml:space="preserve">Hoạt động và tổ chức thực hiện</w:t>
            </w:r>
          </w:p>
        </w:tc>
        <w:tc>
          <w:tcPr>
            <w:tcW w:type="dxa" w:w="1400"/>
          </w:tcPr>
          <w:p>
            <w:pPr>
              <w:pStyle w:val="Compact"/>
              <w:jc w:val="left"/>
            </w:pPr>
            <w:r>
              <w:rPr>
                <w:b/>
                <w:sz w:val="24"/>
              </w:rPr>
              <w:t xml:space="preserve">Thời lượng</w:t>
            </w:r>
          </w:p>
        </w:tc>
      </w:tr>
      <w:tr>
        <w:tc>
          <w:tcPr>
            <w:tcW w:type="dxa" w:w="1900"/>
          </w:tcPr>
          <w:p>
            <w:pPr>
              <w:pStyle w:val="Compact"/>
              <w:jc w:val="left"/>
            </w:pPr>
            <w:r>
              <w:rPr>
                <w:bCs/>
                <w:b/>
                <w:sz w:val="24"/>
              </w:rPr>
              <w:t xml:space="preserve">TIẾT 1</w:t>
            </w:r>
          </w:p>
        </w:tc>
        <w:tc>
          <w:tcPr>
            <w:tcW w:type="dxa" w:w="6200"/>
          </w:tcPr>
          <w:p>
            <w:pPr>
              <w:pStyle w:val="Compact"/>
              <w:jc w:val="left"/>
            </w:pPr>
            <w:r>
              <w:rPr>
                <w:bCs/>
                <w:b/>
                <w:sz w:val="24"/>
              </w:rPr>
              <w:t xml:space="preserve">HĐ1. Xác định vấn đề (Mở đầu)</w:t>
            </w:r>
            <w:r>
              <w:rPr>
                <w:sz w:val="24"/>
              </w:rPr>
              <w:br/>
            </w:r>
            <w:r>
              <w:rPr>
                <w:sz w:val="24"/>
              </w:rPr>
              <w:t xml:space="preserve">Hỏi: "Ngày xưa ông bà gội đầu, giặt đồ bằng gì?" Giới thiệu bồ hòn. Giao nhiệm vụ và tiêu chí. Phát Phiếu 1 (vấn đề, tiêu chí).</w:t>
            </w:r>
          </w:p>
        </w:tc>
        <w:tc>
          <w:tcPr>
            <w:tcW w:type="dxa" w:w="1400"/>
          </w:tcPr>
          <w:p>
            <w:pPr>
              <w:pStyle w:val="Compact"/>
              <w:jc w:val="left"/>
            </w:pPr>
            <w:r>
              <w:rPr>
                <w:sz w:val="24"/>
              </w:rPr>
              <w:t xml:space="preserve">7 phút</w:t>
            </w:r>
          </w:p>
        </w:tc>
      </w:tr>
      <w:tr>
        <w:tc>
          <w:tcPr>
            <w:tcW w:type="dxa" w:w="1900"/>
          </w:tcPr>
          <w:p>
            <w:pPr>
              <w:pStyle w:val="Compact"/>
              <w:jc w:val="left"/>
            </w:pPr>
            <w:r>
              <w:rPr>
                <w:bCs/>
                <w:b/>
                <w:sz w:val="24"/>
              </w:rPr>
              <w:t xml:space="preserve">TIẾT 1</w:t>
            </w:r>
          </w:p>
        </w:tc>
        <w:tc>
          <w:tcPr>
            <w:tcW w:type="dxa" w:w="6200"/>
          </w:tcPr>
          <w:p>
            <w:pPr>
              <w:pStyle w:val="Compact"/>
              <w:jc w:val="left"/>
            </w:pPr>
            <w:r>
              <w:rPr>
                <w:bCs/>
                <w:b/>
                <w:sz w:val="24"/>
              </w:rPr>
              <w:t xml:space="preserve">HĐ2. Nghiên cứu kiến thức nền (Hình thành kiến thức)</w:t>
            </w:r>
            <w:r>
              <w:rPr>
                <w:sz w:val="24"/>
              </w:rPr>
              <w:br/>
            </w:r>
            <w:r>
              <w:rPr>
                <w:sz w:val="24"/>
              </w:rPr>
              <w:t xml:space="preserve">Tìm hiểu xà phòng, chất giặt rửa, cơ chế làm sạch; tính sát khuẩn của cồn; cách đo pH. GV chốt kiến thức theo SGK. HS hoàn thành Phiếu 2.</w:t>
            </w:r>
          </w:p>
        </w:tc>
        <w:tc>
          <w:tcPr>
            <w:tcW w:type="dxa" w:w="1400"/>
          </w:tcPr>
          <w:p>
            <w:pPr>
              <w:pStyle w:val="Compact"/>
              <w:jc w:val="left"/>
            </w:pPr>
            <w:r>
              <w:rPr>
                <w:sz w:val="24"/>
              </w:rPr>
              <w:t xml:space="preserve">28 phút</w:t>
            </w:r>
          </w:p>
        </w:tc>
      </w:tr>
      <w:tr>
        <w:tc>
          <w:tcPr>
            <w:tcW w:type="dxa" w:w="1900"/>
          </w:tcPr>
          <w:p>
            <w:pPr>
              <w:pStyle w:val="Compact"/>
              <w:jc w:val="left"/>
            </w:pPr>
            <w:r>
              <w:rPr>
                <w:bCs/>
                <w:b/>
                <w:sz w:val="24"/>
              </w:rPr>
              <w:t xml:space="preserve">TIẾT 1</w:t>
            </w:r>
          </w:p>
        </w:tc>
        <w:tc>
          <w:tcPr>
            <w:tcW w:type="dxa" w:w="6200"/>
          </w:tcPr>
          <w:p>
            <w:pPr>
              <w:pStyle w:val="Compact"/>
              <w:jc w:val="left"/>
            </w:pPr>
            <w:r>
              <w:rPr>
                <w:bCs/>
                <w:b/>
                <w:sz w:val="24"/>
              </w:rPr>
              <w:t xml:space="preserve">HĐ3. Đề xuất giải pháp, giao nhiệm vụ thiết kế</w:t>
            </w:r>
            <w:r>
              <w:rPr>
                <w:sz w:val="24"/>
              </w:rPr>
              <w:br/>
            </w:r>
            <w:r>
              <w:rPr>
                <w:sz w:val="24"/>
              </w:rPr>
              <w:t xml:space="preserve">Nhóm đề xuất công thức (tỉ lệ bồ hòn : nước, lượng sả), lập quy trình pha. Phân vai: trưởng nhóm, kĩ sư thiết kế, thư kí tính toán, thợ chế tạo, người thuyết trình. Phát rubric.</w:t>
            </w:r>
          </w:p>
        </w:tc>
        <w:tc>
          <w:tcPr>
            <w:tcW w:type="dxa" w:w="1400"/>
          </w:tcPr>
          <w:p>
            <w:pPr>
              <w:pStyle w:val="Compact"/>
              <w:jc w:val="left"/>
            </w:pPr>
            <w:r>
              <w:rPr>
                <w:sz w:val="24"/>
              </w:rPr>
              <w:t xml:space="preserve">10 phút</w:t>
            </w:r>
          </w:p>
        </w:tc>
      </w:tr>
      <w:tr>
        <w:tc>
          <w:tcPr>
            <w:tcW w:type="dxa" w:w="1900"/>
          </w:tcPr>
          <w:p>
            <w:pPr>
              <w:pStyle w:val="Compact"/>
              <w:jc w:val="left"/>
            </w:pPr>
            <w:r>
              <w:rPr>
                <w:bCs/>
                <w:b/>
                <w:sz w:val="24"/>
              </w:rPr>
              <w:t xml:space="preserve">BUỔI HỌC THỨ HAI</w:t>
            </w:r>
          </w:p>
        </w:tc>
        <w:tc>
          <w:tcPr>
            <w:tcW w:type="dxa" w:w="6200"/>
          </w:tcPr>
          <w:p>
            <w:pPr>
              <w:pStyle w:val="Compact"/>
              <w:jc w:val="left"/>
            </w:pPr>
            <w:r>
              <w:rPr>
                <w:bCs/>
                <w:b/>
                <w:sz w:val="24"/>
              </w:rPr>
              <w:t xml:space="preserve">HĐ3–HĐ4. Lựa chọn giải pháp, chế tạo, thử nghiệm</w:t>
            </w:r>
            <w:r>
              <w:rPr>
                <w:sz w:val="24"/>
              </w:rPr>
              <w:br/>
            </w:r>
            <w:r>
              <w:rPr>
                <w:sz w:val="24"/>
              </w:rPr>
              <w:t xml:space="preserve">Pha chế tại phòng thực hành, thử bọt, đo pH, thử kích ứng, điều chỉnh tỉ lệ. Ghi Phiếu 4 (lần thử, kết quả, điều chỉnh). Trường học 1 buổi/ngày: giao làm ở nhà 1–2 tuần, chỉ phần không có bước nguy hiểm.</w:t>
            </w:r>
          </w:p>
        </w:tc>
        <w:tc>
          <w:tcPr>
            <w:tcW w:type="dxa" w:w="1400"/>
          </w:tcPr>
          <w:p>
            <w:pPr>
              <w:pStyle w:val="Compact"/>
              <w:jc w:val="left"/>
            </w:pPr>
            <w:r>
              <w:rPr>
                <w:sz w:val="24"/>
              </w:rPr>
              <w:t xml:space="preserve">khoảng 90 phút</w:t>
            </w:r>
          </w:p>
        </w:tc>
      </w:tr>
      <w:tr>
        <w:tc>
          <w:tcPr>
            <w:tcW w:type="dxa" w:w="1900"/>
          </w:tcPr>
          <w:p>
            <w:pPr>
              <w:pStyle w:val="Compact"/>
              <w:jc w:val="left"/>
            </w:pPr>
            <w:r>
              <w:rPr>
                <w:bCs/>
                <w:b/>
                <w:sz w:val="24"/>
              </w:rPr>
              <w:t xml:space="preserve">TIẾT 2 · LUYỆN TẬP</w:t>
            </w:r>
          </w:p>
        </w:tc>
        <w:tc>
          <w:tcPr>
            <w:tcW w:type="dxa" w:w="6200"/>
          </w:tcPr>
          <w:p>
            <w:pPr>
              <w:pStyle w:val="Compact"/>
              <w:jc w:val="left"/>
            </w:pPr>
            <w:r>
              <w:rPr>
                <w:bCs/>
                <w:b/>
                <w:sz w:val="24"/>
              </w:rPr>
              <w:t xml:space="preserve">HĐ5. Luyện tập; chia sẻ, thảo luận, điều chỉnh</w:t>
            </w:r>
            <w:r>
              <w:rPr>
                <w:sz w:val="24"/>
              </w:rPr>
              <w:br/>
            </w:r>
            <w:r>
              <w:rPr>
                <w:sz w:val="24"/>
              </w:rPr>
              <w:t xml:space="preserve">12 phút: bài tập luyện tập gắn với sản phẩm (mục V). 8 phút: kiểm tra chéo sản phẩm theo tiêu chí. 17 phút: Làm bài tập; báo cáo kết quả thử nghiệm; phản biện về an toàn và hiệu quả. 8 phút: nêu điều chỉnh, tự đánh giá (Phiếu 5), GV chốt kiến thức.</w:t>
            </w:r>
          </w:p>
        </w:tc>
        <w:tc>
          <w:tcPr>
            <w:tcW w:type="dxa" w:w="1400"/>
          </w:tcPr>
          <w:p>
            <w:pPr>
              <w:pStyle w:val="Compact"/>
              <w:jc w:val="left"/>
            </w:pPr>
            <w:r>
              <w:rPr>
                <w:sz w:val="24"/>
              </w:rPr>
              <w:t xml:space="preserve">45 phút</w:t>
            </w:r>
          </w:p>
        </w:tc>
      </w:tr>
    </w:tbl>
    <w:bookmarkEnd w:id="23"/>
    <w:bookmarkStart w:id="24" w:name="v.-bài-tập-luyện-tập-gắn-với-sản-phẩm"/>
    <w:p>
      <w:pPr>
        <w:pStyle w:val="Heading3"/>
        <w:spacing w:after="80"/>
      </w:pPr>
      <w:r>
        <w:rPr>
          <w:b/>
          <w:i w:val="0"/>
          <w:color w:val="151D33"/>
          <w:sz w:val="26"/>
        </w:rPr>
        <w:t xml:space="preserve">V. Bài tập luyện tập gắn với sản phẩm</w:t>
      </w:r>
    </w:p>
    <w:p>
      <w:pPr>
        <w:pStyle w:val="FirstParagraph"/>
        <w:spacing w:after="80"/>
      </w:pPr>
      <w:r>
        <w:rPr>
          <w:bCs/>
          <w:b/>
        </w:rPr>
        <w:t xml:space="preserve">Bài 1.</w:t>
      </w:r>
      <w:r>
        <w:t xml:space="preserve"> </w:t>
      </w:r>
      <w:r>
        <w:t xml:space="preserve">Nhóm ngâm 50 g bồ hòn trong 250 ml nước. a) Tỉ lệ bồ hòn : nước là bao nhiêu? b) Muốn pha 600 ml dung dịch cùng tỉ lệ thì cần bao nhiêu gam bồ hòn? c) Đo pH được 5,5. Dung dịch có tính axit, bazơ hay trung tính? Có phù hợp với da tay không?</w:t>
      </w:r>
    </w:p>
    <w:p>
      <w:pPr>
        <w:pStyle w:val="BodyText"/>
        <w:spacing w:after="80"/>
      </w:pPr>
      <w:r>
        <w:rPr>
          <w:iCs/>
          <w:i/>
        </w:rPr>
        <w:t xml:space="preserve">Đáp án:</w:t>
      </w:r>
      <w:r>
        <w:t xml:space="preserve"> </w:t>
      </w:r>
      <w:r>
        <w:t xml:space="preserve">a) 1 : 5. b) 120 g. c) Có tính axit nhẹ; gần pH của da nên phù hợp.</w:t>
      </w:r>
    </w:p>
    <w:bookmarkEnd w:id="24"/>
    <w:bookmarkStart w:id="25" w:name="vi.-câu-hỏi-phản-biện-gợi-ý"/>
    <w:p>
      <w:pPr>
        <w:pStyle w:val="Heading3"/>
        <w:spacing w:after="80"/>
      </w:pPr>
      <w:r>
        <w:rPr>
          <w:b/>
          <w:i w:val="0"/>
          <w:color w:val="151D33"/>
          <w:sz w:val="26"/>
        </w:rPr>
        <w:t xml:space="preserve">VI. Câu hỏi phản biện gợi ý</w:t>
      </w:r>
    </w:p>
    <w:p>
      <w:pPr>
        <w:numPr>
          <w:ilvl w:val="0"/>
          <w:numId w:val="1004"/>
        </w:numPr>
        <w:pStyle w:val="Compact"/>
        <w:spacing w:after="80"/>
      </w:pPr>
      <w:r>
        <w:t xml:space="preserve">Vì sao dung dịch bồ hòn tạo bọt?</w:t>
      </w:r>
    </w:p>
    <w:p>
      <w:pPr>
        <w:numPr>
          <w:ilvl w:val="0"/>
          <w:numId w:val="1004"/>
        </w:numPr>
        <w:pStyle w:val="Compact"/>
        <w:spacing w:after="80"/>
      </w:pPr>
      <w:r>
        <w:t xml:space="preserve">Sản phẩm tự làm cần bảo quản thế nào để không bị hỏng?</w:t>
      </w:r>
    </w:p>
    <w:bookmarkEnd w:id="25"/>
    <w:bookmarkStart w:id="26" w:name="vii.-đánh-giá"/>
    <w:p>
      <w:pPr>
        <w:pStyle w:val="Heading3"/>
        <w:spacing w:after="80"/>
      </w:pPr>
      <w:r>
        <w:rPr>
          <w:b/>
          <w:i w:val="0"/>
          <w:color w:val="151D33"/>
          <w:sz w:val="26"/>
        </w:rPr>
        <w:t xml:space="preserve">VII. Đánh giá</w:t>
      </w:r>
    </w:p>
    <w:p>
      <w:pPr>
        <w:pStyle w:val="FirstParagraph"/>
        <w:spacing w:after="80"/>
      </w:pPr>
      <w:r>
        <w:t xml:space="preserve">Rubric 3 phần, công bố từ HĐ1: (1) kiến thức được vận dụng (bản thiết kế, số liệu, lời giải); (2) chất lượng sản phẩm theo tiêu chí ở mục II; (3) báo cáo, phản biện, hợp tác. Mỗi phần 3 mức: chưa đạt, đạt, tốt. Kết hợp GV đánh giá, đánh giá đồng đẳng, tự đánh giá; bài tập cá nhân ở tiết 2 là căn cứ đánh giá từng HS (Thông tư 22/2021/TT-BGDĐT).</w:t>
      </w:r>
    </w:p>
    <w:bookmarkEnd w:id="26"/>
    <w:bookmarkStart w:id="27" w:name="viii.-an-toàn"/>
    <w:p>
      <w:pPr>
        <w:pStyle w:val="Heading3"/>
        <w:spacing w:after="80"/>
      </w:pPr>
      <w:r>
        <w:rPr>
          <w:b/>
          <w:i w:val="0"/>
          <w:color w:val="151D33"/>
          <w:sz w:val="26"/>
        </w:rPr>
        <w:t xml:space="preserve">VIII. An toàn</w:t>
      </w:r>
    </w:p>
    <w:p>
      <w:pPr>
        <w:numPr>
          <w:ilvl w:val="0"/>
          <w:numId w:val="1005"/>
        </w:numPr>
        <w:pStyle w:val="Compact"/>
        <w:spacing w:after="80"/>
      </w:pPr>
      <w:r>
        <w:t xml:space="preserve">Đun nấu tại phòng thực hành, GV phụ trách; không nếm, không để dung dịch vào mắt; ngừng thử nếu thấy ngứa, đỏ da.</w:t>
      </w:r>
    </w:p>
    <w:p>
      <w:pPr>
        <w:numPr>
          <w:ilvl w:val="0"/>
          <w:numId w:val="1005"/>
        </w:numPr>
        <w:pStyle w:val="Compact"/>
        <w:spacing w:after="80"/>
      </w:pPr>
      <w:r>
        <w:t xml:space="preserve">Đọc phiếu an toàn ở Hoạt động 1; dụng cụ cắt, dán nóng có giáo viên giám sát.</w:t>
      </w:r>
    </w:p>
    <w:p>
      <w:pPr>
        <w:pStyle w:val="FirstParagraph"/>
        <w:spacing w:after="80"/>
      </w:pPr>
      <w:r>
        <w:rPr>
          <w:bCs/>
          <w:b/>
        </w:rPr>
        <w:t xml:space="preserve">DUYỆT CỦA TỔ CHUYÊN MÔN</w:t>
      </w:r>
    </w:p>
    <w:p>
      <w:pPr>
        <w:pStyle w:val="BodyText"/>
        <w:spacing w:after="80"/>
      </w:pPr>
      <w:r>
        <w:rPr>
          <w:iCs/>
          <w:i/>
        </w:rPr>
        <w:t xml:space="preserve">(Kí, ghi rõ họ tên)</w:t>
      </w:r>
    </w:p>
    <w:p>
      <w:pPr>
        <w:pStyle w:val="BodyText"/>
        <w:spacing w:after="80"/>
      </w:pPr>
      <w:r>
        <w:rPr>
          <w:bCs/>
          <w:b/>
        </w:rPr>
        <w:t xml:space="preserve">GIÁO VIÊN SOẠN</w:t>
      </w:r>
    </w:p>
    <w:p>
      <w:pPr>
        <w:pStyle w:val="BodyText"/>
        <w:spacing w:after="80"/>
      </w:pPr>
      <w:r>
        <w:rPr>
          <w:iCs/>
          <w:i/>
        </w:rPr>
        <w:t xml:space="preserve">(Kí, ghi rõ họ tên)</w:t>
      </w:r>
    </w:p>
    <w:bookmarkEnd w:id="27"/>
    <w:bookmarkEnd w:id="28"/>
    <w:sectPr>
      <w:pgSz w:h="16838" w:w="11906"/>
      <w:pgMar w:bottom="1134" w:left="1417" w:right="85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6"/>
    </w:rPr>
  </w:style>
  <w:style w:styleId="BodyText" w:type="paragraph">
    <w:name w:val="Body Text"/>
    <w:basedOn w:val="Normal"/>
    <w:link w:val="BodyTextChar"/>
    <w:pPr>
      <w:spacing w:after="180" w:before="180"/>
    </w:pPr>
    <w:qFormat/>
    <w:rPr>
      <w:rFonts w:ascii="Times New Roman" w:cs="Times New Roman" w:eastAsia="Times New Roman" w:hAnsi="Times New Roman"/>
      <w:sz w:val="26"/>
    </w:rPr>
  </w:style>
  <w:style w:customStyle="1" w:styleId="FirstParagraph" w:type="paragraph">
    <w:name w:val="First Paragraph"/>
    <w:basedOn w:val="BodyText"/>
    <w:next w:val="BodyText"/>
    <w:qFormat/>
    <w:rPr>
      <w:rFonts w:ascii="Times New Roman" w:cs="Times New Roman" w:eastAsia="Times New Roman" w:hAnsi="Times New Roman"/>
      <w:sz w:val="26"/>
    </w:rPr>
  </w:style>
  <w:style w:customStyle="1" w:styleId="Compact" w:type="paragraph">
    <w:name w:val="Compact"/>
    <w:basedOn w:val="BodyText"/>
    <w:qFormat/>
    <w:pPr>
      <w:spacing w:after="36" w:before="36"/>
    </w:pPr>
    <w:rPr>
      <w:rFonts w:ascii="Times New Roman" w:cs="Times New Roman" w:eastAsia="Times New Roman" w:hAnsi="Times New Roman"/>
      <w:sz w:val="26"/>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color w:val="151D33"/>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color w:val="151D33"/>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color w:val="151D33"/>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val="151D33"/>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val="151D33"/>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val="151D33"/>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val="151D33"/>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val="151D33"/>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val="151D33"/>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2026-10-19T14:42:55Z</dcterms:created>
  <dcterms:modified xsi:type="dcterms:W3CDTF">2026-10-19T14:42:55Z</dcterms:modified>
</cp:coreProperties>
</file>

<file path=docProps/custom.xml><?xml version="1.0" encoding="utf-8"?>
<Properties xmlns="http://schemas.openxmlformats.org/officeDocument/2006/custom-properties" xmlns:vt="http://schemas.openxmlformats.org/officeDocument/2006/docPropsVTypes"/>
</file>