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after="80"/>
      </w:pPr>
      <w:r>
        <w:rPr>
          <w:bCs/>
          <w:b/>
        </w:rPr>
        <w:t xml:space="preserve">TRƯỜNG THCS VÕ THỊ SÁU</w:t>
      </w:r>
      <w:r>
        <w:br/>
      </w:r>
      <w:r>
        <w:rPr>
          <w:bCs/>
          <w:b/>
        </w:rPr>
        <w:t xml:space="preserve">TỔ KHOA HỌC TỰ NHIÊN</w:t>
      </w:r>
    </w:p>
    <w:bookmarkStart w:id="28" w:name="Xe03cc26db8c048470cf94d6ef7c4aa945b520de"/>
    <w:p>
      <w:pPr>
        <w:pStyle w:val="Heading1"/>
        <w:spacing w:after="80"/>
        <w:jc w:val="center"/>
      </w:pPr>
      <w:r>
        <w:rPr>
          <w:color w:val="151D33"/>
        </w:rPr>
        <w:t xml:space="preserve">BÀI HỌC STEM: THIẾT KẾ POSTER STEM BẰNG CANVA</w:t>
      </w:r>
    </w:p>
    <w:p>
      <w:pPr>
        <w:pStyle w:val="FirstParagraph"/>
        <w:spacing w:after="80"/>
      </w:pPr>
      <w:r>
        <w:rPr>
          <w:iCs/>
          <w:i/>
        </w:rPr>
        <w:t xml:space="preserve">Kế hoạch bài dạy · Môn Tin học 7 · Năm học 2026 – 2027</w:t>
      </w:r>
    </w:p>
    <w:p>
      <w:pPr>
        <w:pStyle w:val="BodyText"/>
        <w:spacing w:after="80"/>
      </w:pPr>
      <w:r>
        <w:rPr>
          <w:bCs/>
          <w:b/>
        </w:rPr>
        <w:t xml:space="preserve">Môn:</w:t>
      </w:r>
      <w:r>
        <w:t xml:space="preserve"> </w:t>
      </w:r>
      <w:r>
        <w:t xml:space="preserve">Tin học 7 ·</w:t>
      </w:r>
      <w:r>
        <w:t xml:space="preserve"> </w:t>
      </w:r>
      <w:r>
        <w:rPr>
          <w:bCs/>
          <w:b/>
        </w:rPr>
        <w:t xml:space="preserve">Sản phẩm:</w:t>
      </w:r>
      <w:r>
        <w:t xml:space="preserve"> </w:t>
      </w:r>
      <w:r>
        <w:t xml:space="preserve">Poster số giới thiệu một sản phẩm STEM của trường ·</w:t>
      </w:r>
      <w:r>
        <w:t xml:space="preserve"> </w:t>
      </w:r>
      <w:r>
        <w:rPr>
          <w:bCs/>
          <w:b/>
        </w:rPr>
        <w:t xml:space="preserve">Thời lượng:</w:t>
      </w:r>
      <w:r>
        <w:t xml:space="preserve"> </w:t>
      </w:r>
      <w:r>
        <w:t xml:space="preserve">2 tiết chính khóa + 1 buổi chế tạo ·</w:t>
      </w:r>
      <w:r>
        <w:t xml:space="preserve"> </w:t>
      </w:r>
      <w:r>
        <w:rPr>
          <w:bCs/>
          <w:b/>
        </w:rPr>
        <w:t xml:space="preserve">Kiểu bài:</w:t>
      </w:r>
      <w:r>
        <w:t xml:space="preserve"> </w:t>
      </w:r>
      <w:r>
        <w:t xml:space="preserve">thiết kế kĩ thuật (CV 3089)</w:t>
      </w:r>
    </w:p>
    <w:p>
      <w:pPr>
        <w:pStyle w:val="BodyText"/>
        <w:spacing w:after="80"/>
      </w:pPr>
      <w:r>
        <w:t xml:space="preserve">Canva là công cụ gợi ý; có thể làm poster ngay bằng phần mềm trình chiếu như trong SGK.</w:t>
      </w:r>
    </w:p>
    <w:bookmarkStart w:id="20" w:name="i.-mục-tiêu"/>
    <w:p>
      <w:pPr>
        <w:pStyle w:val="Heading3"/>
        <w:spacing w:after="80"/>
      </w:pPr>
      <w:r>
        <w:rPr>
          <w:b/>
          <w:i w:val="0"/>
          <w:color w:val="151D33"/>
          <w:sz w:val="26"/>
        </w:rPr>
        <w:t xml:space="preserve">I. Mục tiêu</w:t>
      </w:r>
    </w:p>
    <w:p>
      <w:pPr>
        <w:pStyle w:val="FirstParagraph"/>
        <w:spacing w:after="80"/>
      </w:pPr>
      <w:r>
        <w:rPr>
          <w:bCs/>
          <w:b/>
        </w:rPr>
        <w:t xml:space="preserve">1. Kiến thức</w:t>
      </w:r>
      <w:r>
        <w:t xml:space="preserve"> </w:t>
      </w:r>
      <w:r>
        <w:rPr>
          <w:iCs/>
          <w:i/>
        </w:rPr>
        <w:t xml:space="preserve">(đã đối chiếu SGK Kết nối tri thức, có số trang)</w:t>
      </w:r>
    </w:p>
    <w:p>
      <w:pPr>
        <w:numPr>
          <w:ilvl w:val="0"/>
          <w:numId w:val="1001"/>
        </w:numPr>
        <w:pStyle w:val="Compact"/>
        <w:spacing w:after="80"/>
      </w:pPr>
      <w:r>
        <w:t xml:space="preserve">Tạo bài trình chiếu; định dạng đối tượng trên trang chiếu (SGK Tin học 7, Bài 11, tr.55; Bài 12, tr.61)</w:t>
      </w:r>
    </w:p>
    <w:p>
      <w:pPr>
        <w:numPr>
          <w:ilvl w:val="0"/>
          <w:numId w:val="1001"/>
        </w:numPr>
        <w:pStyle w:val="Compact"/>
        <w:spacing w:after="80"/>
      </w:pPr>
      <w:r>
        <w:t xml:space="preserve">Thực hành tổng hợp: hoàn thiện bài trình chiếu (Bài 13, tr.68)</w:t>
      </w:r>
    </w:p>
    <w:p>
      <w:pPr>
        <w:numPr>
          <w:ilvl w:val="0"/>
          <w:numId w:val="1001"/>
        </w:numPr>
        <w:pStyle w:val="Compact"/>
        <w:spacing w:after="80"/>
      </w:pPr>
      <w:r>
        <w:t xml:space="preserve">Ứng xử trên mạng; tôn trọng bản quyền, ghi nguồn (Bài 5, tr.23)</w:t>
      </w:r>
    </w:p>
    <w:p>
      <w:pPr>
        <w:pStyle w:val="FirstParagraph"/>
        <w:spacing w:after="80"/>
      </w:pPr>
      <w:r>
        <w:rPr>
          <w:bCs/>
          <w:b/>
        </w:rPr>
        <w:t xml:space="preserve">2. Năng lực</w:t>
      </w:r>
    </w:p>
    <w:p>
      <w:pPr>
        <w:numPr>
          <w:ilvl w:val="0"/>
          <w:numId w:val="1002"/>
        </w:numPr>
        <w:pStyle w:val="Compact"/>
        <w:spacing w:after="80"/>
      </w:pPr>
      <w:r>
        <w:t xml:space="preserve">Năng lực chung: tự chủ và tự học; giao tiếp và hợp tác; giải quyết vấn đề và sáng tạo.</w:t>
      </w:r>
    </w:p>
    <w:p>
      <w:pPr>
        <w:numPr>
          <w:ilvl w:val="0"/>
          <w:numId w:val="1002"/>
        </w:numPr>
        <w:pStyle w:val="Compact"/>
        <w:spacing w:after="80"/>
      </w:pPr>
      <w:r>
        <w:t xml:space="preserve">Năng lực tin học: sử dụng và quản lí các phương tiện công nghệ; ứng xử phù hợp trong môi trường số; giải quyết vấn đề với sự hỗ trợ của công nghệ; ứng dụng công nghệ trong học và tự học; hợp tác trong môi trường số.</w:t>
      </w:r>
    </w:p>
    <w:p>
      <w:pPr>
        <w:pStyle w:val="FirstParagraph"/>
        <w:spacing w:after="80"/>
      </w:pPr>
      <w:r>
        <w:rPr>
          <w:bCs/>
          <w:b/>
        </w:rPr>
        <w:t xml:space="preserve">3. Phẩm chất:</w:t>
      </w:r>
      <w:r>
        <w:t xml:space="preserve"> </w:t>
      </w:r>
      <w:r>
        <w:t xml:space="preserve">chăm chỉ; trung thực khi ghi kết quả thử nghiệm; trách nhiệm với phần việc trong nhóm và với môi trường.</w:t>
      </w:r>
    </w:p>
    <w:bookmarkEnd w:id="20"/>
    <w:bookmarkStart w:id="21" w:name="ii.-vấn-đề-và-tiêu-chí-sản-phẩm"/>
    <w:p>
      <w:pPr>
        <w:pStyle w:val="Heading3"/>
        <w:spacing w:after="80"/>
      </w:pPr>
      <w:r>
        <w:rPr>
          <w:b/>
          <w:i w:val="0"/>
          <w:color w:val="151D33"/>
          <w:sz w:val="26"/>
        </w:rPr>
        <w:t xml:space="preserve">II. Vấn đề và tiêu chí sản phẩm</w:t>
      </w:r>
    </w:p>
    <w:p>
      <w:pPr>
        <w:pStyle w:val="FirstParagraph"/>
        <w:spacing w:after="80"/>
      </w:pPr>
      <w:r>
        <w:t xml:space="preserve">Ngày hội STEM của trường cần poster giới thiệu các sản phẩm của học sinh. Mỗi nhóm thiết kế một poster số và in khổ A3.</w:t>
      </w:r>
    </w:p>
    <w:tbl>
      <w:tblPr>
        <w:tblStyle w:val="Table"/>
        <w:tblW w:type="dxa" w:w="95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</w:tblPr>
      <w:tblGrid>
        <w:gridCol w:w="700"/>
        <w:gridCol w:w="5900"/>
        <w:gridCol w:w="2900"/>
      </w:tblGrid>
      <w:tr>
        <w:trPr>
          <w:tblHeader w:val="true"/>
        </w:trPr>
        <w:tc>
          <w:tcPr>
            <w:tcW w:type="dxa" w:w="700"/>
          </w:tcPr>
          <w:p>
            <w:pPr>
              <w:pStyle w:val="Compact"/>
              <w:jc w:val="left"/>
            </w:pPr>
            <w:r>
              <w:rPr>
                <w:b/>
                <w:sz w:val="24"/>
              </w:rPr>
              <w:t xml:space="preserve">TT</w:t>
            </w:r>
          </w:p>
        </w:tc>
        <w:tc>
          <w:tcPr>
            <w:tcW w:type="dxa" w:w="5900"/>
          </w:tcPr>
          <w:p>
            <w:pPr>
              <w:pStyle w:val="Compact"/>
              <w:jc w:val="left"/>
            </w:pPr>
            <w:r>
              <w:rPr>
                <w:b/>
                <w:sz w:val="24"/>
              </w:rPr>
              <w:t xml:space="preserve">Tiêu chí</w:t>
            </w:r>
          </w:p>
        </w:tc>
        <w:tc>
          <w:tcPr>
            <w:tcW w:type="dxa" w:w="2900"/>
          </w:tcPr>
          <w:p>
            <w:pPr>
              <w:pStyle w:val="Compact"/>
              <w:jc w:val="left"/>
            </w:pPr>
            <w:r>
              <w:rPr>
                <w:b/>
                <w:sz w:val="24"/>
              </w:rPr>
              <w:t xml:space="preserve">Cách kiểm tra</w:t>
            </w:r>
          </w:p>
        </w:tc>
      </w:tr>
      <w:tr>
        <w:tc>
          <w:tcPr>
            <w:tcW w:type="dxa" w:w="7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1</w:t>
            </w:r>
          </w:p>
        </w:tc>
        <w:tc>
          <w:tcPr>
            <w:tcW w:type="dxa" w:w="59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Khổ A3 dọc, chữ đọc được từ khoảng cách 2 m</w:t>
            </w:r>
          </w:p>
        </w:tc>
        <w:tc>
          <w:tcPr>
            <w:tcW w:type="dxa" w:w="29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In thử, đọc thử</w:t>
            </w:r>
          </w:p>
        </w:tc>
      </w:tr>
      <w:tr>
        <w:tc>
          <w:tcPr>
            <w:tcW w:type="dxa" w:w="7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2</w:t>
            </w:r>
          </w:p>
        </w:tc>
        <w:tc>
          <w:tcPr>
            <w:tcW w:type="dxa" w:w="59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Không quá 3 phông chữ, một bảng màu thống nhất</w:t>
            </w:r>
          </w:p>
        </w:tc>
        <w:tc>
          <w:tcPr>
            <w:tcW w:type="dxa" w:w="29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Quan sát</w:t>
            </w:r>
          </w:p>
        </w:tc>
      </w:tr>
      <w:tr>
        <w:tc>
          <w:tcPr>
            <w:tcW w:type="dxa" w:w="7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3</w:t>
            </w:r>
          </w:p>
        </w:tc>
        <w:tc>
          <w:tcPr>
            <w:tcW w:type="dxa" w:w="59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Có tiêu đề, hình ảnh, 3–5 ý chính, mã QR dẫn tới học liệu</w:t>
            </w:r>
          </w:p>
        </w:tc>
        <w:tc>
          <w:tcPr>
            <w:tcW w:type="dxa" w:w="29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Kiểm tra</w:t>
            </w:r>
          </w:p>
        </w:tc>
      </w:tr>
      <w:tr>
        <w:tc>
          <w:tcPr>
            <w:tcW w:type="dxa" w:w="7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4</w:t>
            </w:r>
          </w:p>
        </w:tc>
        <w:tc>
          <w:tcPr>
            <w:tcW w:type="dxa" w:w="59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Ghi nguồn mọi hình ảnh không tự chụp</w:t>
            </w:r>
          </w:p>
        </w:tc>
        <w:tc>
          <w:tcPr>
            <w:tcW w:type="dxa" w:w="29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Kiểm tra</w:t>
            </w:r>
          </w:p>
        </w:tc>
      </w:tr>
    </w:tbl>
    <w:bookmarkEnd w:id="21"/>
    <w:bookmarkStart w:id="22" w:name="iii.-thiết-bị-vật-liệu-mỗi-nhóm"/>
    <w:p>
      <w:pPr>
        <w:pStyle w:val="Heading3"/>
        <w:spacing w:after="80"/>
      </w:pPr>
      <w:r>
        <w:rPr>
          <w:b/>
          <w:i w:val="0"/>
          <w:color w:val="151D33"/>
          <w:sz w:val="26"/>
        </w:rPr>
        <w:t xml:space="preserve">III. Thiết bị, vật liệu (mỗi nhóm)</w:t>
      </w:r>
    </w:p>
    <w:p>
      <w:pPr>
        <w:numPr>
          <w:ilvl w:val="0"/>
          <w:numId w:val="1003"/>
        </w:numPr>
        <w:pStyle w:val="Compact"/>
        <w:spacing w:after="80"/>
      </w:pPr>
      <w:r>
        <w:t xml:space="preserve">Máy tính, tài khoản Canva giáo dục (hoặc phần mềm trình chiếu)</w:t>
      </w:r>
    </w:p>
    <w:p>
      <w:pPr>
        <w:numPr>
          <w:ilvl w:val="0"/>
          <w:numId w:val="1003"/>
        </w:numPr>
        <w:pStyle w:val="Compact"/>
        <w:spacing w:after="80"/>
      </w:pPr>
      <w:r>
        <w:t xml:space="preserve">Ảnh sản phẩm STEM do HS tự chụp</w:t>
      </w:r>
    </w:p>
    <w:bookmarkEnd w:id="22"/>
    <w:bookmarkStart w:id="23" w:name="iv.-tiến-trình-dạy-học-5-hoạt-động-stem"/>
    <w:p>
      <w:pPr>
        <w:pStyle w:val="Heading3"/>
        <w:spacing w:after="80"/>
      </w:pPr>
      <w:r>
        <w:rPr>
          <w:b/>
          <w:i w:val="0"/>
          <w:color w:val="151D33"/>
          <w:sz w:val="26"/>
        </w:rPr>
        <w:t xml:space="preserve">IV. Tiến trình dạy học (5 hoạt động STEM)</w:t>
      </w:r>
    </w:p>
    <w:tbl>
      <w:tblPr>
        <w:tblStyle w:val="Table"/>
        <w:tblW w:type="dxa" w:w="95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</w:tblPr>
      <w:tblGrid>
        <w:gridCol w:w="1900"/>
        <w:gridCol w:w="6200"/>
        <w:gridCol w:w="1400"/>
      </w:tblGrid>
      <w:tr>
        <w:trPr>
          <w:tblHeader w:val="true"/>
        </w:trPr>
        <w:tc>
          <w:tcPr>
            <w:tcW w:type="dxa" w:w="1900"/>
          </w:tcPr>
          <w:p>
            <w:pPr>
              <w:pStyle w:val="Compact"/>
              <w:jc w:val="left"/>
            </w:pPr>
            <w:r>
              <w:rPr>
                <w:b/>
                <w:sz w:val="24"/>
              </w:rPr>
              <w:t xml:space="preserve">Thời điểm</w:t>
            </w:r>
          </w:p>
        </w:tc>
        <w:tc>
          <w:tcPr>
            <w:tcW w:type="dxa" w:w="6200"/>
          </w:tcPr>
          <w:p>
            <w:pPr>
              <w:pStyle w:val="Compact"/>
              <w:jc w:val="left"/>
            </w:pPr>
            <w:r>
              <w:rPr>
                <w:b/>
                <w:sz w:val="24"/>
              </w:rPr>
              <w:t xml:space="preserve">Hoạt động và tổ chức thực hiện</w:t>
            </w:r>
          </w:p>
        </w:tc>
        <w:tc>
          <w:tcPr>
            <w:tcW w:type="dxa" w:w="1400"/>
          </w:tcPr>
          <w:p>
            <w:pPr>
              <w:pStyle w:val="Compact"/>
              <w:jc w:val="left"/>
            </w:pPr>
            <w:r>
              <w:rPr>
                <w:b/>
                <w:sz w:val="24"/>
              </w:rPr>
              <w:t xml:space="preserve">Thời lượng</w:t>
            </w:r>
          </w:p>
        </w:tc>
      </w:tr>
      <w:tr>
        <w:tc>
          <w:tcPr>
            <w:tcW w:type="dxa" w:w="1900"/>
          </w:tcPr>
          <w:p>
            <w:pPr>
              <w:pStyle w:val="Compact"/>
              <w:jc w:val="left"/>
            </w:pPr>
            <w:r>
              <w:rPr>
                <w:bCs/>
                <w:b/>
                <w:sz w:val="24"/>
              </w:rPr>
              <w:t xml:space="preserve">TIẾT 1</w:t>
            </w:r>
          </w:p>
        </w:tc>
        <w:tc>
          <w:tcPr>
            <w:tcW w:type="dxa" w:w="6200"/>
          </w:tcPr>
          <w:p>
            <w:pPr>
              <w:pStyle w:val="Compact"/>
              <w:jc w:val="left"/>
            </w:pPr>
            <w:r>
              <w:rPr>
                <w:bCs/>
                <w:b/>
                <w:sz w:val="24"/>
              </w:rPr>
              <w:t xml:space="preserve">HĐ1. Xác định vấn đề (Mở đầu)</w:t>
            </w:r>
            <w:r>
              <w:rPr>
                <w:sz w:val="24"/>
              </w:rPr>
              <w:br/>
            </w:r>
            <w:r>
              <w:rPr>
                <w:sz w:val="24"/>
              </w:rPr>
              <w:t xml:space="preserve">Cho HS so sánh hai poster: một rối mắt, một rõ ràng. Hỏi: "Poster nào dễ đọc hơn? Vì sao?" Phát Phiếu 1 (vấn đề, tiêu chí).</w:t>
            </w:r>
          </w:p>
        </w:tc>
        <w:tc>
          <w:tcPr>
            <w:tcW w:type="dxa" w:w="14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7 phút</w:t>
            </w:r>
          </w:p>
        </w:tc>
      </w:tr>
      <w:tr>
        <w:tc>
          <w:tcPr>
            <w:tcW w:type="dxa" w:w="1900"/>
          </w:tcPr>
          <w:p>
            <w:pPr>
              <w:pStyle w:val="Compact"/>
              <w:jc w:val="left"/>
            </w:pPr>
            <w:r>
              <w:rPr>
                <w:bCs/>
                <w:b/>
                <w:sz w:val="24"/>
              </w:rPr>
              <w:t xml:space="preserve">TIẾT 1</w:t>
            </w:r>
          </w:p>
        </w:tc>
        <w:tc>
          <w:tcPr>
            <w:tcW w:type="dxa" w:w="6200"/>
          </w:tcPr>
          <w:p>
            <w:pPr>
              <w:pStyle w:val="Compact"/>
              <w:jc w:val="left"/>
            </w:pPr>
            <w:r>
              <w:rPr>
                <w:bCs/>
                <w:b/>
                <w:sz w:val="24"/>
              </w:rPr>
              <w:t xml:space="preserve">HĐ2. Nghiên cứu kiến thức nền (Hình thành kiến thức)</w:t>
            </w:r>
            <w:r>
              <w:rPr>
                <w:sz w:val="24"/>
              </w:rPr>
              <w:br/>
            </w:r>
            <w:r>
              <w:rPr>
                <w:sz w:val="24"/>
              </w:rPr>
              <w:t xml:space="preserve">Tìm hiểu nguyên tắc trình bày: căn lề, tương phản, khoảng trắng, phân cấp chữ; bản quyền hình ảnh. GV chốt kiến thức theo SGK. HS hoàn thành Phiếu 2.</w:t>
            </w:r>
          </w:p>
        </w:tc>
        <w:tc>
          <w:tcPr>
            <w:tcW w:type="dxa" w:w="14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28 phút</w:t>
            </w:r>
          </w:p>
        </w:tc>
      </w:tr>
      <w:tr>
        <w:tc>
          <w:tcPr>
            <w:tcW w:type="dxa" w:w="1900"/>
          </w:tcPr>
          <w:p>
            <w:pPr>
              <w:pStyle w:val="Compact"/>
              <w:jc w:val="left"/>
            </w:pPr>
            <w:r>
              <w:rPr>
                <w:bCs/>
                <w:b/>
                <w:sz w:val="24"/>
              </w:rPr>
              <w:t xml:space="preserve">TIẾT 1</w:t>
            </w:r>
          </w:p>
        </w:tc>
        <w:tc>
          <w:tcPr>
            <w:tcW w:type="dxa" w:w="6200"/>
          </w:tcPr>
          <w:p>
            <w:pPr>
              <w:pStyle w:val="Compact"/>
              <w:jc w:val="left"/>
            </w:pPr>
            <w:r>
              <w:rPr>
                <w:bCs/>
                <w:b/>
                <w:sz w:val="24"/>
              </w:rPr>
              <w:t xml:space="preserve">HĐ3. Đề xuất giải pháp, giao nhiệm vụ thiết kế</w:t>
            </w:r>
            <w:r>
              <w:rPr>
                <w:sz w:val="24"/>
              </w:rPr>
              <w:br/>
            </w:r>
            <w:r>
              <w:rPr>
                <w:sz w:val="24"/>
              </w:rPr>
              <w:t xml:space="preserve">Nhóm phác bố cục trên giấy, chọn bảng màu. Phân vai: trưởng nhóm, kĩ sư thiết kế, thư kí tính toán, thợ chế tạo, người thuyết trình. Phát rubric.</w:t>
            </w:r>
          </w:p>
        </w:tc>
        <w:tc>
          <w:tcPr>
            <w:tcW w:type="dxa" w:w="14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10 phút</w:t>
            </w:r>
          </w:p>
        </w:tc>
      </w:tr>
      <w:tr>
        <w:tc>
          <w:tcPr>
            <w:tcW w:type="dxa" w:w="1900"/>
          </w:tcPr>
          <w:p>
            <w:pPr>
              <w:pStyle w:val="Compact"/>
              <w:jc w:val="left"/>
            </w:pPr>
            <w:r>
              <w:rPr>
                <w:bCs/>
                <w:b/>
                <w:sz w:val="24"/>
              </w:rPr>
              <w:t xml:space="preserve">BUỔI HỌC THỨ HAI</w:t>
            </w:r>
          </w:p>
        </w:tc>
        <w:tc>
          <w:tcPr>
            <w:tcW w:type="dxa" w:w="6200"/>
          </w:tcPr>
          <w:p>
            <w:pPr>
              <w:pStyle w:val="Compact"/>
              <w:jc w:val="left"/>
            </w:pPr>
            <w:r>
              <w:rPr>
                <w:bCs/>
                <w:b/>
                <w:sz w:val="24"/>
              </w:rPr>
              <w:t xml:space="preserve">HĐ3–HĐ4. Lựa chọn giải pháp, chế tạo, thử nghiệm</w:t>
            </w:r>
            <w:r>
              <w:rPr>
                <w:sz w:val="24"/>
              </w:rPr>
              <w:br/>
            </w:r>
            <w:r>
              <w:rPr>
                <w:sz w:val="24"/>
              </w:rPr>
              <w:t xml:space="preserve">Thiết kế trên máy, in thử, sửa theo góp ý. Ghi Phiếu 4 (lần thử, kết quả, điều chỉnh). Trường học 1 buổi/ngày: giao làm ở nhà 1–2 tuần, chỉ phần không có bước nguy hiểm.</w:t>
            </w:r>
          </w:p>
        </w:tc>
        <w:tc>
          <w:tcPr>
            <w:tcW w:type="dxa" w:w="14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khoảng 90 phút</w:t>
            </w:r>
          </w:p>
        </w:tc>
      </w:tr>
      <w:tr>
        <w:tc>
          <w:tcPr>
            <w:tcW w:type="dxa" w:w="1900"/>
          </w:tcPr>
          <w:p>
            <w:pPr>
              <w:pStyle w:val="Compact"/>
              <w:jc w:val="left"/>
            </w:pPr>
            <w:r>
              <w:rPr>
                <w:bCs/>
                <w:b/>
                <w:sz w:val="24"/>
              </w:rPr>
              <w:t xml:space="preserve">TIẾT 2 · LUYỆN TẬP</w:t>
            </w:r>
          </w:p>
        </w:tc>
        <w:tc>
          <w:tcPr>
            <w:tcW w:type="dxa" w:w="6200"/>
          </w:tcPr>
          <w:p>
            <w:pPr>
              <w:pStyle w:val="Compact"/>
              <w:jc w:val="left"/>
            </w:pPr>
            <w:r>
              <w:rPr>
                <w:bCs/>
                <w:b/>
                <w:sz w:val="24"/>
              </w:rPr>
              <w:t xml:space="preserve">HĐ5. Luyện tập; chia sẻ, thảo luận, điều chỉnh</w:t>
            </w:r>
            <w:r>
              <w:rPr>
                <w:sz w:val="24"/>
              </w:rPr>
              <w:br/>
            </w:r>
            <w:r>
              <w:rPr>
                <w:sz w:val="24"/>
              </w:rPr>
              <w:t xml:space="preserve">12 phút: bài tập luyện tập gắn với sản phẩm (mục V). 8 phút: kiểm tra chéo sản phẩm theo tiêu chí. 17 phút: Làm bài tập; trưng bày, bình chọn theo tiêu chí; phản biện. 8 phút: nêu điều chỉnh, tự đánh giá (Phiếu 5), GV chốt kiến thức.</w:t>
            </w:r>
          </w:p>
        </w:tc>
        <w:tc>
          <w:tcPr>
            <w:tcW w:type="dxa" w:w="14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45 phút</w:t>
            </w:r>
          </w:p>
        </w:tc>
      </w:tr>
    </w:tbl>
    <w:bookmarkEnd w:id="23"/>
    <w:bookmarkStart w:id="24" w:name="v.-bài-tập-luyện-tập-gắn-với-sản-phẩm"/>
    <w:p>
      <w:pPr>
        <w:pStyle w:val="Heading3"/>
        <w:spacing w:after="80"/>
      </w:pPr>
      <w:r>
        <w:rPr>
          <w:b/>
          <w:i w:val="0"/>
          <w:color w:val="151D33"/>
          <w:sz w:val="26"/>
        </w:rPr>
        <w:t xml:space="preserve">V. Bài tập luyện tập gắn với sản phẩm</w:t>
      </w:r>
    </w:p>
    <w:p>
      <w:pPr>
        <w:pStyle w:val="FirstParagraph"/>
        <w:spacing w:after="80"/>
      </w:pPr>
      <w:r>
        <w:rPr>
          <w:bCs/>
          <w:b/>
        </w:rPr>
        <w:t xml:space="preserve">Bài 1.</w:t>
      </w:r>
      <w:r>
        <w:t xml:space="preserve"> </w:t>
      </w:r>
      <w:r>
        <w:t xml:space="preserve">Cho một poster mẫu. a) Chỉ ra 3 điểm chưa đạt theo tiêu chí. b) Đề xuất cách sửa. c) Vì sao phải ghi nguồn hình ảnh?</w:t>
      </w:r>
    </w:p>
    <w:p>
      <w:pPr>
        <w:pStyle w:val="BodyText"/>
        <w:spacing w:after="80"/>
      </w:pPr>
      <w:r>
        <w:rPr>
          <w:iCs/>
          <w:i/>
        </w:rPr>
        <w:t xml:space="preserve">Đáp án:</w:t>
      </w:r>
      <w:r>
        <w:t xml:space="preserve"> </w:t>
      </w:r>
      <w:r>
        <w:t xml:space="preserve">Đáp án mở theo poster mẫu; c) Tôn trọng bản quyền, tránh vi phạm pháp luật, giúp người xem kiểm chứng.</w:t>
      </w:r>
    </w:p>
    <w:bookmarkEnd w:id="24"/>
    <w:bookmarkStart w:id="25" w:name="vi.-câu-hỏi-phản-biện-gợi-ý"/>
    <w:p>
      <w:pPr>
        <w:pStyle w:val="Heading3"/>
        <w:spacing w:after="80"/>
      </w:pPr>
      <w:r>
        <w:rPr>
          <w:b/>
          <w:i w:val="0"/>
          <w:color w:val="151D33"/>
          <w:sz w:val="26"/>
        </w:rPr>
        <w:t xml:space="preserve">VI. Câu hỏi phản biện gợi ý</w:t>
      </w:r>
    </w:p>
    <w:p>
      <w:pPr>
        <w:numPr>
          <w:ilvl w:val="0"/>
          <w:numId w:val="1004"/>
        </w:numPr>
        <w:pStyle w:val="Compact"/>
        <w:spacing w:after="80"/>
      </w:pPr>
      <w:r>
        <w:t xml:space="preserve">Vì sao không nên dùng quá nhiều phông chữ?</w:t>
      </w:r>
    </w:p>
    <w:p>
      <w:pPr>
        <w:numPr>
          <w:ilvl w:val="0"/>
          <w:numId w:val="1004"/>
        </w:numPr>
        <w:pStyle w:val="Compact"/>
        <w:spacing w:after="80"/>
      </w:pPr>
      <w:r>
        <w:t xml:space="preserve">Mã QR trên poster nên dẫn tới đâu?</w:t>
      </w:r>
    </w:p>
    <w:bookmarkEnd w:id="25"/>
    <w:bookmarkStart w:id="26" w:name="vii.-đánh-giá"/>
    <w:p>
      <w:pPr>
        <w:pStyle w:val="Heading3"/>
        <w:spacing w:after="80"/>
      </w:pPr>
      <w:r>
        <w:rPr>
          <w:b/>
          <w:i w:val="0"/>
          <w:color w:val="151D33"/>
          <w:sz w:val="26"/>
        </w:rPr>
        <w:t xml:space="preserve">VII. Đánh giá</w:t>
      </w:r>
    </w:p>
    <w:p>
      <w:pPr>
        <w:pStyle w:val="FirstParagraph"/>
        <w:spacing w:after="80"/>
      </w:pPr>
      <w:r>
        <w:t xml:space="preserve">Rubric 3 phần, công bố từ HĐ1: (1) kiến thức được vận dụng (bản thiết kế, số liệu, lời giải); (2) chất lượng sản phẩm theo tiêu chí ở mục II; (3) báo cáo, phản biện, hợp tác. Mỗi phần 3 mức: chưa đạt, đạt, tốt. Kết hợp GV đánh giá, đánh giá đồng đẳng, tự đánh giá; bài tập cá nhân ở tiết 2 là căn cứ đánh giá từng HS (Thông tư 22/2021/TT-BGDĐT).</w:t>
      </w:r>
    </w:p>
    <w:bookmarkEnd w:id="26"/>
    <w:bookmarkStart w:id="27" w:name="viii.-an-toàn"/>
    <w:p>
      <w:pPr>
        <w:pStyle w:val="Heading3"/>
        <w:spacing w:after="80"/>
      </w:pPr>
      <w:r>
        <w:rPr>
          <w:b/>
          <w:i w:val="0"/>
          <w:color w:val="151D33"/>
          <w:sz w:val="26"/>
        </w:rPr>
        <w:t xml:space="preserve">VIII. An toàn</w:t>
      </w:r>
    </w:p>
    <w:p>
      <w:pPr>
        <w:numPr>
          <w:ilvl w:val="0"/>
          <w:numId w:val="1005"/>
        </w:numPr>
        <w:pStyle w:val="Compact"/>
        <w:spacing w:after="80"/>
      </w:pPr>
      <w:r>
        <w:t xml:space="preserve">Không đăng ảnh có khuôn mặt bạn khi chưa được đồng ý.</w:t>
      </w:r>
    </w:p>
    <w:p>
      <w:pPr>
        <w:numPr>
          <w:ilvl w:val="0"/>
          <w:numId w:val="1005"/>
        </w:numPr>
        <w:pStyle w:val="Compact"/>
        <w:spacing w:after="80"/>
      </w:pPr>
      <w:r>
        <w:t xml:space="preserve">Đọc phiếu an toàn ở Hoạt động 1; dụng cụ cắt, dán nóng có giáo viên giám sát.</w:t>
      </w:r>
    </w:p>
    <w:p>
      <w:pPr>
        <w:pStyle w:val="FirstParagraph"/>
        <w:spacing w:after="80"/>
      </w:pPr>
      <w:r>
        <w:rPr>
          <w:bCs/>
          <w:b/>
        </w:rPr>
        <w:t xml:space="preserve">DUYỆT CỦA TỔ CHUYÊN MÔN</w:t>
      </w:r>
    </w:p>
    <w:p>
      <w:pPr>
        <w:pStyle w:val="BodyText"/>
        <w:spacing w:after="80"/>
      </w:pPr>
      <w:r>
        <w:rPr>
          <w:iCs/>
          <w:i/>
        </w:rPr>
        <w:t xml:space="preserve">(Kí, ghi rõ họ tên)</w:t>
      </w:r>
    </w:p>
    <w:p>
      <w:pPr>
        <w:pStyle w:val="BodyText"/>
        <w:spacing w:after="80"/>
      </w:pPr>
      <w:r>
        <w:rPr>
          <w:bCs/>
          <w:b/>
        </w:rPr>
        <w:t xml:space="preserve">GIÁO VIÊN SOẠN</w:t>
      </w:r>
    </w:p>
    <w:p>
      <w:pPr>
        <w:pStyle w:val="BodyText"/>
        <w:spacing w:after="80"/>
      </w:pPr>
      <w:r>
        <w:rPr>
          <w:iCs/>
          <w:i/>
        </w:rPr>
        <w:t xml:space="preserve">(Kí, ghi rõ họ tên)</w:t>
      </w:r>
    </w:p>
    <w:bookmarkEnd w:id="27"/>
    <w:bookmarkEnd w:id="28"/>
    <w:sectPr>
      <w:pgSz w:h="16838" w:w="11906"/>
      <w:pgMar w:bottom="1134" w:left="1417" w:right="850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cs="Times New Roman" w:eastAsia="Times New Roman" w:hAnsi="Times New Roman"/>
      <w:sz w:val="26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Times New Roman" w:cs="Times New Roman" w:eastAsia="Times New Roman" w:hAnsi="Times New Roman"/>
      <w:sz w:val="26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cs="Times New Roman" w:eastAsia="Times New Roman" w:hAnsi="Times New Roman"/>
      <w:sz w:val="26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cs="Times New Roman" w:eastAsia="Times New Roman" w:hAnsi="Times New Roman"/>
      <w:sz w:val="26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cs="Times New Roman" w:eastAsia="Times New Roman" w:hAnsi="Times New Roman"/>
      <w:b/>
      <w:bCs/>
      <w:i w:val="0"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imes New Roman" w:cs="Times New Roman" w:eastAsia="Times New Roman" w:hAnsi="Times New Roman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cs="Times New Roman" w:eastAsia="Times New Roman" w:hAnsi="Times New Roman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cs="Times New Roman" w:eastAsia="Times New Roman" w:hAnsi="Times New Roman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Times New Roman" w:cs="Times New Roman" w:eastAsia="Times New Roman" w:hAnsi="Times New Roman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cs="Times New Roman" w:eastAsia="Times New Roman" w:hAnsi="Times New Roma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cs="Times New Roman" w:eastAsia="Times New Roman" w:hAnsi="Times New Roman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imes New Roman" w:cs="Times New Roman" w:eastAsia="Times New Roman" w:hAnsi="Times New Roman"/>
      <w:b/>
      <w:bCs/>
      <w:color w:val="151D33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imes New Roman" w:cs="Times New Roman" w:eastAsia="Times New Roman" w:hAnsi="Times New Roman"/>
      <w:b/>
      <w:bCs/>
      <w:color w:val="151D33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imes New Roman" w:cs="Times New Roman" w:eastAsia="Times New Roman" w:hAnsi="Times New Roman"/>
      <w:b/>
      <w:bCs/>
      <w:color w:val="151D33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cs="Times New Roman" w:eastAsia="Times New Roman" w:hAnsi="Times New Roman"/>
      <w:i/>
      <w:bCs/>
      <w:color w:val="151D33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cs="Times New Roman" w:eastAsia="Times New Roman" w:hAnsi="Times New Roman"/>
      <w:iCs/>
      <w:color w:val="151D33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cs="Times New Roman" w:eastAsia="Times New Roman" w:hAnsi="Times New Roman"/>
      <w:color w:val="151D33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cs="Times New Roman" w:eastAsia="Times New Roman" w:hAnsi="Times New Roman"/>
      <w:color w:val="151D33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cs="Times New Roman" w:eastAsia="Times New Roman" w:hAnsi="Times New Roman"/>
      <w:color w:val="151D33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cs="Times New Roman" w:eastAsia="Times New Roman" w:hAnsi="Times New Roman"/>
      <w:color w:val="151D33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Times New Roman" w:hAnsi="Times New Roma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cs="Times New Roman" w:eastAsia="Times New Roman" w:hAnsi="Times New Roman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cs="Times New Roman" w:eastAsia="Times New Roman" w:hAnsi="Times New Roman"/>
      <w:b/>
    </w:rPr>
  </w:style>
  <w:style w:customStyle="1" w:styleId="Definition" w:type="paragraph">
    <w:name w:val="Definition"/>
    <w:basedOn w:val="Normal"/>
    <w:rPr>
      <w:rFonts w:ascii="Times New Roman" w:cs="Times New Roman" w:eastAsia="Times New Roman" w:hAnsi="Times New Roma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cs="Times New Roman" w:eastAsia="Times New Roman" w:hAnsi="Times New Roma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cs="Times New Roman" w:eastAsia="Times New Roman" w:hAnsi="Times New Roman"/>
    </w:rPr>
  </w:style>
  <w:style w:customStyle="1" w:styleId="ImageCaption" w:type="paragraph">
    <w:name w:val="Image Caption"/>
    <w:basedOn w:val="Caption"/>
    <w:rPr>
      <w:rFonts w:ascii="Times New Roman" w:cs="Times New Roman" w:eastAsia="Times New Roman" w:hAnsi="Times New Roman"/>
    </w:rPr>
  </w:style>
  <w:style w:customStyle="1" w:styleId="Figure" w:type="paragraph">
    <w:name w:val="Figure"/>
    <w:basedOn w:val="Normal"/>
    <w:rPr>
      <w:rFonts w:ascii="Times New Roman" w:cs="Times New Roman" w:eastAsia="Times New Roman" w:hAnsi="Times New Roma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cs="Times New Roman" w:eastAsia="Times New Roman" w:hAnsi="Times New Roman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Times New Roman" w:hAnsi="Times New Roman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2026-10-19T14:42:55Z</dcterms:created>
  <dcterms:modified xsi:type="dcterms:W3CDTF">2026-10-19T14:42:55Z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